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8E44">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14:paraId="7BC2AD4D">
      <w:pPr>
        <w:pStyle w:val="2"/>
        <w:jc w:val="center"/>
        <w:rPr>
          <w:rFonts w:hint="eastAsia" w:ascii="方正小标宋简体" w:hAnsi="宋体" w:eastAsia="方正小标宋简体" w:cs="Times New Roman"/>
          <w:color w:val="auto"/>
          <w:kern w:val="2"/>
          <w:sz w:val="44"/>
          <w:szCs w:val="44"/>
          <w:highlight w:val="none"/>
          <w:lang w:val="en-US" w:eastAsia="zh-CN" w:bidi="ar-SA"/>
        </w:rPr>
      </w:pPr>
    </w:p>
    <w:p w14:paraId="39E0E929">
      <w:pPr>
        <w:pStyle w:val="2"/>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Start w:id="0" w:name="_Toc15306268"/>
      <w:bookmarkStart w:id="1" w:name="_Toc15396476"/>
      <w:bookmarkStart w:id="2" w:name="_Toc15377194"/>
      <w:bookmarkStart w:id="3" w:name="_Toc15396598"/>
      <w:bookmarkStart w:id="4" w:name="_Toc15377426"/>
      <w:bookmarkStart w:id="5" w:name="_Toc15378442"/>
      <w:r>
        <w:rPr>
          <w:rFonts w:hint="eastAsia" w:ascii="方正小标宋简体" w:hAnsi="宋体" w:eastAsia="方正小标宋简体" w:cs="Times New Roman"/>
          <w:color w:val="auto"/>
          <w:kern w:val="2"/>
          <w:sz w:val="44"/>
          <w:szCs w:val="44"/>
          <w:highlight w:val="none"/>
          <w:lang w:val="en-US" w:eastAsia="zh-CN" w:bidi="ar-SA"/>
        </w:rPr>
        <w:t>中国共产党泸县纪律检查委员会单位决算</w:t>
      </w:r>
      <w:bookmarkEnd w:id="0"/>
      <w:bookmarkEnd w:id="1"/>
      <w:bookmarkEnd w:id="2"/>
      <w:bookmarkEnd w:id="3"/>
      <w:bookmarkEnd w:id="4"/>
      <w:bookmarkEnd w:id="5"/>
    </w:p>
    <w:p w14:paraId="1269C07A">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object>
          <v:shape id="_x0000_i1025" o:spt="75" type="#_x0000_t75" style="height:0.05pt;width:0.05pt;" o:ole="t" filled="f" stroked="f" coordsize="21600,21600">
            <v:path/>
            <v:fill on="f" focussize="0,0"/>
            <v:stroke on="f"/>
            <v:imagedata o:title=""/>
            <o:lock v:ext="edit" aspectratio="t"/>
            <w10:wrap type="none"/>
            <w10:anchorlock/>
          </v:shape>
          <o:OLEObject Type="Embed" ProgID="Excel.Chart.8" ShapeID="_x0000_i1025" DrawAspect="Content" ObjectID="_1468075725" r:id="rId6">
            <o:LockedField>false</o:LockedField>
          </o:OLEObject>
        </w:object>
      </w: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19646749">
      <w:pPr>
        <w:widowControl/>
        <w:jc w:val="center"/>
        <w:rPr>
          <w:rFonts w:ascii="黑体" w:hAnsi="黑体" w:eastAsia="黑体" w:cs="Times New Roman"/>
          <w:color w:val="auto"/>
          <w:sz w:val="28"/>
          <w:szCs w:val="28"/>
          <w:highlight w:val="none"/>
        </w:rPr>
      </w:pPr>
    </w:p>
    <w:p w14:paraId="6CA8375B">
      <w:pPr>
        <w:pStyle w:val="9"/>
        <w:rPr>
          <w:color w:val="FF0000"/>
          <w:highlight w:val="none"/>
        </w:rPr>
      </w:pPr>
      <w:r>
        <w:rPr>
          <w:rFonts w:hint="eastAsia"/>
          <w:color w:val="FF0000"/>
          <w:highlight w:val="none"/>
        </w:rPr>
        <w:t>公开时间：20</w:t>
      </w:r>
      <w:r>
        <w:rPr>
          <w:rFonts w:hint="eastAsia"/>
          <w:color w:val="FF0000"/>
          <w:highlight w:val="none"/>
          <w:lang w:val="en-US" w:eastAsia="zh-CN"/>
        </w:rPr>
        <w:t>23</w:t>
      </w:r>
      <w:r>
        <w:rPr>
          <w:rFonts w:hint="eastAsia"/>
          <w:color w:val="FF0000"/>
          <w:highlight w:val="none"/>
        </w:rPr>
        <w:t>年</w:t>
      </w:r>
      <w:r>
        <w:rPr>
          <w:rFonts w:hint="eastAsia"/>
          <w:color w:val="FF0000"/>
          <w:highlight w:val="none"/>
          <w:lang w:val="en-US" w:eastAsia="zh-CN"/>
        </w:rPr>
        <w:t>9</w:t>
      </w:r>
      <w:r>
        <w:rPr>
          <w:rFonts w:hint="eastAsia"/>
          <w:color w:val="FF0000"/>
          <w:highlight w:val="none"/>
        </w:rPr>
        <w:t>月</w:t>
      </w:r>
      <w:r>
        <w:rPr>
          <w:rFonts w:hint="eastAsia"/>
          <w:color w:val="FF0000"/>
          <w:highlight w:val="none"/>
          <w:lang w:val="en-US" w:eastAsia="zh-CN"/>
        </w:rPr>
        <w:t>18</w:t>
      </w:r>
      <w:r>
        <w:rPr>
          <w:rFonts w:hint="eastAsia"/>
          <w:color w:val="FF0000"/>
          <w:highlight w:val="none"/>
        </w:rPr>
        <w:t>日</w:t>
      </w:r>
    </w:p>
    <w:p w14:paraId="00655331">
      <w:pPr>
        <w:rPr>
          <w:color w:val="auto"/>
          <w:highlight w:val="none"/>
        </w:rPr>
      </w:pPr>
    </w:p>
    <w:p w14:paraId="0726261C">
      <w:pPr>
        <w:pStyle w:val="9"/>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27B93CF1">
      <w:pPr>
        <w:pStyle w:val="11"/>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单位职责</w:t>
      </w:r>
    </w:p>
    <w:p w14:paraId="035D44EE">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二、机构设置</w:t>
      </w:r>
    </w:p>
    <w:p w14:paraId="03F48966">
      <w:pPr>
        <w:pStyle w:val="9"/>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7D5063AF">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599B12EB">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6BE92BAA">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7D83A2A0">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40BC5B65">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70CC34D4">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146509A4">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066F560C">
      <w:pPr>
        <w:pStyle w:val="11"/>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2642836A">
      <w:pPr>
        <w:pStyle w:val="11"/>
        <w:adjustRightInd w:val="0"/>
        <w:snapToGrid w:val="0"/>
        <w:spacing w:line="440" w:lineRule="exact"/>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p>
    <w:p w14:paraId="4B1E888F">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宋体" w:hAnsi="宋体" w:eastAsia="宋体" w:cs="宋体"/>
          <w:color w:val="auto"/>
          <w:sz w:val="24"/>
          <w:highlight w:val="none"/>
        </w:rPr>
      </w:pPr>
      <w:r>
        <w:rPr>
          <w:rStyle w:val="15"/>
          <w:rFonts w:hint="eastAsia" w:ascii="宋体" w:hAnsi="宋体" w:eastAsia="宋体" w:cs="宋体"/>
          <w:color w:val="auto"/>
          <w:sz w:val="24"/>
          <w:highlight w:val="none"/>
          <w:u w:val="none"/>
          <w:lang w:eastAsia="zh-CN"/>
        </w:rPr>
        <w:t>十</w:t>
      </w:r>
      <w:r>
        <w:rPr>
          <w:rStyle w:val="15"/>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rPr>
        <w:tab/>
      </w:r>
    </w:p>
    <w:p w14:paraId="31FA63CE">
      <w:pPr>
        <w:pStyle w:val="9"/>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49CF290A">
      <w:pPr>
        <w:pStyle w:val="9"/>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308E6FFF">
      <w:pPr>
        <w:pStyle w:val="9"/>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55B193F3">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5D1C7122">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18E3AE01">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27320B23">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397160FE">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16A4B37">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23FC8517">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0F563FC2">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55D70CC2">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587CD61C">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4F59A922">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41522B95">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63A1D649">
      <w:pPr>
        <w:pStyle w:val="11"/>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color w:val="auto"/>
          <w:sz w:val="24"/>
          <w:highlight w:val="none"/>
        </w:rPr>
        <w:t>十三、财政拨款“三公”经费支出决算表</w:t>
      </w:r>
    </w:p>
    <w:p w14:paraId="1666E58F">
      <w:pPr>
        <w:widowControl/>
        <w:spacing w:line="440" w:lineRule="exact"/>
        <w:jc w:val="left"/>
        <w:rPr>
          <w:rFonts w:ascii="仿宋" w:hAnsi="仿宋" w:eastAsia="仿宋"/>
          <w:bCs/>
          <w:color w:val="auto"/>
          <w:kern w:val="44"/>
          <w:sz w:val="24"/>
          <w:highlight w:val="none"/>
        </w:rPr>
      </w:pPr>
      <w:bookmarkStart w:id="6" w:name="_Toc15377196"/>
      <w:bookmarkStart w:id="7" w:name="_Toc15396599"/>
      <w:r>
        <w:rPr>
          <w:rFonts w:ascii="仿宋" w:hAnsi="仿宋" w:eastAsia="仿宋"/>
          <w:b/>
          <w:color w:val="auto"/>
          <w:sz w:val="24"/>
          <w:highlight w:val="none"/>
        </w:rPr>
        <w:br w:type="page"/>
      </w:r>
    </w:p>
    <w:p w14:paraId="21C34A55">
      <w:pPr>
        <w:pStyle w:val="3"/>
        <w:jc w:val="center"/>
        <w:rPr>
          <w:rStyle w:val="1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16"/>
          <w:rFonts w:hint="eastAsia" w:ascii="黑体" w:hAnsi="黑体" w:eastAsia="黑体"/>
          <w:b w:val="0"/>
          <w:bCs w:val="0"/>
          <w:color w:val="auto"/>
          <w:highlight w:val="none"/>
          <w:lang w:eastAsia="zh-CN"/>
        </w:rPr>
        <w:t>单位</w:t>
      </w:r>
      <w:r>
        <w:rPr>
          <w:rStyle w:val="16"/>
          <w:rFonts w:hint="eastAsia" w:ascii="黑体" w:hAnsi="黑体" w:eastAsia="黑体"/>
          <w:b w:val="0"/>
          <w:bCs w:val="0"/>
          <w:color w:val="auto"/>
          <w:highlight w:val="none"/>
        </w:rPr>
        <w:t>概况</w:t>
      </w:r>
      <w:bookmarkEnd w:id="6"/>
      <w:bookmarkEnd w:id="7"/>
    </w:p>
    <w:p w14:paraId="3D0A7708">
      <w:pPr>
        <w:widowControl/>
        <w:jc w:val="left"/>
        <w:rPr>
          <w:rFonts w:ascii="黑体" w:eastAsia="黑体"/>
          <w:color w:val="auto"/>
          <w:sz w:val="32"/>
          <w:szCs w:val="32"/>
          <w:highlight w:val="none"/>
        </w:rPr>
      </w:pPr>
    </w:p>
    <w:p w14:paraId="3962FEC1">
      <w:pPr>
        <w:pStyle w:val="4"/>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单位职责</w:t>
      </w:r>
    </w:p>
    <w:p w14:paraId="18F03386">
      <w:pPr>
        <w:ind w:firstLine="800" w:firstLineChars="250"/>
        <w:rPr>
          <w:rFonts w:hint="eastAsia" w:ascii="仿宋" w:hAnsi="仿宋" w:eastAsia="仿宋" w:cs="Times New Roman"/>
          <w:color w:val="auto"/>
          <w:sz w:val="32"/>
          <w:szCs w:val="32"/>
          <w:highlight w:val="none"/>
          <w:lang w:eastAsia="zh-CN"/>
        </w:rPr>
      </w:pPr>
      <w:r>
        <w:rPr>
          <w:rFonts w:hint="eastAsia" w:ascii="仿宋" w:hAnsi="仿宋" w:eastAsia="仿宋" w:cs="Times New Roman"/>
          <w:color w:val="auto"/>
          <w:sz w:val="32"/>
          <w:szCs w:val="32"/>
          <w:highlight w:val="none"/>
          <w:lang w:eastAsia="zh-CN"/>
        </w:rPr>
        <w:t>中共泸县纪律检查委员会、泸县监察委员会设内设机构18个，即办公室、组织部、宣传部、研究室、党风政风监督室（县纠正行业不正之风办公室）、信访室、案件监督管理室、第一至第八纪检监察室、案件审理室、法规室、纪检监察干部监督管理室。泸县监察委员会于2019年1月19日正式挂牌成立，与中国共产党泸县纪律检查委员会合署办公，属党的机关。履行党的纪律检查和国家监察两项职能,负责全县党风廉政建设和反腐败斗争的组织协调,负责全县纪检监察机构的组织建设、干部管理和考核工作。</w:t>
      </w:r>
    </w:p>
    <w:p w14:paraId="7A57FC27">
      <w:pPr>
        <w:pStyle w:val="4"/>
        <w:rPr>
          <w:rStyle w:val="17"/>
          <w:b w:val="0"/>
          <w:bCs w:val="0"/>
          <w:color w:val="auto"/>
          <w:highlight w:val="none"/>
        </w:rPr>
      </w:pPr>
      <w:bookmarkStart w:id="8" w:name="_Toc15396601"/>
      <w:bookmarkStart w:id="9"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17"/>
          <w:rFonts w:hint="eastAsia" w:ascii="黑体" w:hAnsi="黑体" w:eastAsia="黑体"/>
          <w:b w:val="0"/>
          <w:bCs w:val="0"/>
          <w:color w:val="auto"/>
          <w:highlight w:val="none"/>
        </w:rPr>
        <w:t>构设置</w:t>
      </w:r>
      <w:bookmarkEnd w:id="8"/>
      <w:bookmarkEnd w:id="9"/>
    </w:p>
    <w:p w14:paraId="2D7687E7">
      <w:pPr>
        <w:pStyle w:val="2"/>
        <w:numPr>
          <w:ilvl w:val="0"/>
          <w:numId w:val="0"/>
        </w:numPr>
        <w:adjustRightInd w:val="0"/>
        <w:snapToGrid w:val="0"/>
        <w:spacing w:before="93" w:line="600" w:lineRule="exact"/>
        <w:ind w:firstLine="640" w:firstLineChars="200"/>
        <w:outlineLvl w:val="2"/>
        <w:rPr>
          <w:rFonts w:ascii="仿宋" w:hAnsi="仿宋" w:eastAsia="仿宋"/>
          <w:color w:val="auto"/>
          <w:sz w:val="32"/>
          <w:szCs w:val="32"/>
          <w:highlight w:val="none"/>
        </w:rPr>
      </w:pPr>
      <w:r>
        <w:rPr>
          <w:rFonts w:hint="eastAsia" w:ascii="仿宋" w:hAnsi="仿宋" w:eastAsia="仿宋"/>
          <w:color w:val="auto"/>
          <w:sz w:val="32"/>
          <w:szCs w:val="32"/>
          <w:highlight w:val="none"/>
        </w:rPr>
        <w:t>中共泸县纪律检查委员会、泸县监察委员会下属二级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w:t>
      </w:r>
    </w:p>
    <w:p w14:paraId="17B67AE6">
      <w:pPr>
        <w:widowControl/>
        <w:jc w:val="left"/>
        <w:rPr>
          <w:rFonts w:ascii="仿宋" w:hAnsi="仿宋" w:eastAsia="仿宋"/>
          <w:color w:val="auto"/>
          <w:kern w:val="0"/>
          <w:sz w:val="32"/>
          <w:szCs w:val="32"/>
          <w:highlight w:val="none"/>
        </w:rPr>
      </w:pPr>
    </w:p>
    <w:p w14:paraId="23DCF208">
      <w:pPr>
        <w:pStyle w:val="7"/>
        <w:rPr>
          <w:rFonts w:ascii="仿宋" w:hAnsi="仿宋" w:eastAsia="仿宋"/>
          <w:color w:val="auto"/>
          <w:kern w:val="0"/>
          <w:sz w:val="32"/>
          <w:szCs w:val="32"/>
          <w:highlight w:val="none"/>
        </w:rPr>
      </w:pPr>
    </w:p>
    <w:p w14:paraId="368A5B8F">
      <w:pPr>
        <w:pStyle w:val="7"/>
        <w:rPr>
          <w:rFonts w:ascii="仿宋" w:hAnsi="仿宋" w:eastAsia="仿宋"/>
          <w:color w:val="auto"/>
          <w:kern w:val="0"/>
          <w:sz w:val="32"/>
          <w:szCs w:val="32"/>
          <w:highlight w:val="none"/>
        </w:rPr>
      </w:pPr>
    </w:p>
    <w:p w14:paraId="05A7E1B7">
      <w:pPr>
        <w:pStyle w:val="3"/>
        <w:ind w:right="440"/>
        <w:jc w:val="center"/>
        <w:rPr>
          <w:rStyle w:val="16"/>
          <w:rFonts w:ascii="黑体" w:hAnsi="黑体" w:eastAsia="黑体"/>
          <w:b w:val="0"/>
          <w:bCs/>
          <w:color w:val="auto"/>
          <w:highlight w:val="none"/>
        </w:rPr>
      </w:pPr>
      <w:bookmarkStart w:id="10" w:name="_Toc15396602"/>
      <w:bookmarkStart w:id="1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2023年度单位</w:t>
      </w:r>
      <w:r>
        <w:rPr>
          <w:rStyle w:val="16"/>
          <w:rFonts w:hint="eastAsia" w:ascii="黑体" w:hAnsi="黑体" w:eastAsia="黑体"/>
          <w:b w:val="0"/>
          <w:bCs/>
          <w:color w:val="auto"/>
          <w:highlight w:val="none"/>
        </w:rPr>
        <w:t>决算情况说明</w:t>
      </w:r>
      <w:bookmarkEnd w:id="10"/>
      <w:bookmarkEnd w:id="11"/>
    </w:p>
    <w:p w14:paraId="58804D80">
      <w:pPr>
        <w:rPr>
          <w:color w:val="auto"/>
          <w:highlight w:val="none"/>
        </w:rPr>
      </w:pPr>
    </w:p>
    <w:p w14:paraId="37680F6E">
      <w:pPr>
        <w:pStyle w:val="18"/>
        <w:numPr>
          <w:ilvl w:val="0"/>
          <w:numId w:val="2"/>
        </w:numPr>
        <w:spacing w:line="600" w:lineRule="exact"/>
        <w:ind w:firstLineChars="0"/>
        <w:outlineLvl w:val="1"/>
        <w:rPr>
          <w:rStyle w:val="17"/>
          <w:rFonts w:ascii="黑体" w:hAnsi="黑体" w:eastAsia="黑体"/>
          <w:b w:val="0"/>
          <w:color w:val="auto"/>
          <w:highlight w:val="none"/>
        </w:rPr>
      </w:pPr>
      <w:bookmarkStart w:id="12" w:name="_Toc15377205"/>
      <w:bookmarkStart w:id="13" w:name="_Toc15396603"/>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入支出决算总体情况说明</w:t>
      </w:r>
      <w:bookmarkEnd w:id="12"/>
      <w:bookmarkEnd w:id="13"/>
    </w:p>
    <w:p w14:paraId="5098DB1F">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rPr>
        <w:t>1,634.15万元。与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334.16万元、266.63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24.44%、19.50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人员经费、公用经费增加。</w:t>
      </w:r>
    </w:p>
    <w:p w14:paraId="70120B8C">
      <w:pPr>
        <w:pStyle w:val="7"/>
        <w:rPr>
          <w:rFonts w:hint="eastAsia"/>
          <w:lang w:eastAsia="zh-CN"/>
        </w:rPr>
      </w:pPr>
      <w:r>
        <w:rPr>
          <w:rFonts w:hint="eastAsia"/>
          <w:lang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Excel.Chart.8" ShapeID="_x0000_i1026" DrawAspect="Content" ObjectID="_1468075726" r:id="rId7">
            <o:LockedField>false</o:LockedField>
          </o:OLEObject>
        </w:object>
      </w:r>
      <w:r>
        <w:rPr>
          <w:rFonts w:hint="eastAsia"/>
          <w:lang w:eastAsia="zh-CN"/>
        </w:rPr>
        <w:object>
          <v:shape id="_x0000_i1027" o:spt="75" type="#_x0000_t75" style="height:0.05pt;width:0.05pt;" o:ole="t" filled="f" stroked="f" coordsize="21600,21600">
            <v:path/>
            <v:fill on="f" focussize="0,0"/>
            <v:stroke on="f"/>
            <v:imagedata o:title=""/>
            <o:lock v:ext="edit" aspectratio="t"/>
            <w10:wrap type="none"/>
            <w10:anchorlock/>
          </v:shape>
          <o:OLEObject Type="Embed" ProgID="Excel.Chart.8" ShapeID="_x0000_i1027" DrawAspect="Content" ObjectID="_1468075727" r:id="rId8">
            <o:LockedField>false</o:LockedField>
          </o:OLEObject>
        </w:object>
      </w:r>
      <w:r>
        <w:rPr>
          <w:rFonts w:hint="eastAsia"/>
          <w:lang w:eastAsia="zh-CN"/>
        </w:rPr>
        <w:object>
          <v:shape id="_x0000_i1028" o:spt="75" type="#_x0000_t75" style="height:0.05pt;width:0.05pt;" o:ole="t" filled="f" stroked="f" coordsize="21600,21600">
            <v:path/>
            <v:fill on="f" focussize="0,0"/>
            <v:stroke on="f"/>
            <v:imagedata o:title=""/>
            <o:lock v:ext="edit" aspectratio="t"/>
            <w10:wrap type="none"/>
            <w10:anchorlock/>
          </v:shape>
          <o:OLEObject Type="Embed" ProgID="Excel.Chart.8" ShapeID="_x0000_i1028" DrawAspect="Content" ObjectID="_1468075728" r:id="rId9">
            <o:LockedField>false</o:LockedField>
          </o:OLEObject>
        </w:object>
      </w:r>
      <w:r>
        <w:rPr>
          <w:rFonts w:hint="eastAsia"/>
          <w:lang w:eastAsia="zh-CN"/>
        </w:rPr>
        <w:object>
          <v:shape id="_x0000_i1029" o:spt="75" type="#_x0000_t75" style="height:0.05pt;width:0.05pt;" o:ole="t" filled="f" stroked="f" coordsize="21600,21600">
            <v:path/>
            <v:fill on="f" focussize="0,0"/>
            <v:stroke on="f"/>
            <v:imagedata o:title=""/>
            <o:lock v:ext="edit" aspectratio="t"/>
            <w10:wrap type="none"/>
            <w10:anchorlock/>
          </v:shape>
          <o:OLEObject Type="Embed" ProgID="Excel.Chart.8" ShapeID="_x0000_i1029" DrawAspect="Content" ObjectID="_1468075729" r:id="rId10">
            <o:LockedField>false</o:LockedField>
          </o:OLEObject>
        </w:object>
      </w:r>
      <w:r>
        <w:rPr>
          <w:rFonts w:hint="default"/>
          <w:lang w:val="en-US" w:eastAsia="zh-CN"/>
        </w:rPr>
        <w:drawing>
          <wp:inline distT="0" distB="0" distL="114300" distR="114300">
            <wp:extent cx="5116195" cy="3326765"/>
            <wp:effectExtent l="4445" t="4445" r="22860"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D324C3">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0DA10170">
      <w:pPr>
        <w:spacing w:line="600" w:lineRule="exact"/>
        <w:ind w:firstLine="640" w:firstLineChars="200"/>
        <w:jc w:val="left"/>
        <w:rPr>
          <w:rFonts w:ascii="仿宋_GB2312" w:eastAsia="仿宋_GB2312"/>
          <w:color w:val="auto"/>
          <w:sz w:val="32"/>
          <w:szCs w:val="32"/>
          <w:highlight w:val="none"/>
        </w:rPr>
      </w:pPr>
    </w:p>
    <w:p w14:paraId="4B7FF782">
      <w:pPr>
        <w:pStyle w:val="18"/>
        <w:numPr>
          <w:ilvl w:val="0"/>
          <w:numId w:val="2"/>
        </w:numPr>
        <w:spacing w:line="600" w:lineRule="exact"/>
        <w:ind w:firstLineChars="0"/>
        <w:outlineLvl w:val="1"/>
        <w:rPr>
          <w:rStyle w:val="17"/>
          <w:rFonts w:ascii="黑体" w:hAnsi="黑体" w:eastAsia="黑体"/>
          <w:b w:val="0"/>
          <w:color w:val="auto"/>
          <w:highlight w:val="none"/>
        </w:rPr>
      </w:pPr>
      <w:bookmarkStart w:id="14" w:name="_Toc15396604"/>
      <w:bookmarkStart w:id="15" w:name="_Toc15377206"/>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入决算情况说明</w:t>
      </w:r>
      <w:bookmarkEnd w:id="14"/>
      <w:bookmarkEnd w:id="15"/>
    </w:p>
    <w:p w14:paraId="0A5A7DC0">
      <w:pPr>
        <w:spacing w:line="600" w:lineRule="exact"/>
        <w:ind w:firstLine="640" w:firstLineChars="200"/>
        <w:outlineLvl w:val="1"/>
        <w:rPr>
          <w:rFonts w:ascii="仿宋" w:hAnsi="仿宋" w:eastAsia="仿宋"/>
          <w:b/>
          <w:bCs/>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本年收入合计1,634.15万元，其中：一般公共预算财政拨款收入1,634.15万元，占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DCDEFF7">
      <w:pPr>
        <w:spacing w:line="240" w:lineRule="auto"/>
        <w:ind w:firstLine="0" w:firstLineChars="0"/>
        <w:rPr>
          <w:rFonts w:hint="eastAsia" w:ascii="仿宋" w:hAnsi="仿宋" w:eastAsia="仿宋"/>
          <w:color w:val="auto"/>
          <w:sz w:val="32"/>
          <w:szCs w:val="32"/>
          <w:highlight w:val="none"/>
        </w:rPr>
      </w:pPr>
      <w:r>
        <w:rPr>
          <w:rFonts w:hint="eastAsia" w:ascii="仿宋" w:hAnsi="仿宋" w:eastAsia="仿宋"/>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434975</wp:posOffset>
            </wp:positionH>
            <wp:positionV relativeFrom="paragraph">
              <wp:posOffset>77470</wp:posOffset>
            </wp:positionV>
            <wp:extent cx="3785235" cy="1861820"/>
            <wp:effectExtent l="5080" t="4445" r="19685" b="1968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CF18BBA">
      <w:pPr>
        <w:spacing w:line="600" w:lineRule="exact"/>
        <w:ind w:firstLine="640" w:firstLineChars="200"/>
        <w:rPr>
          <w:rFonts w:hint="eastAsia" w:ascii="仿宋" w:hAnsi="仿宋" w:eastAsia="仿宋"/>
          <w:color w:val="auto"/>
          <w:sz w:val="32"/>
          <w:szCs w:val="32"/>
          <w:highlight w:val="none"/>
        </w:rPr>
      </w:pPr>
    </w:p>
    <w:p w14:paraId="2472636D">
      <w:pPr>
        <w:spacing w:line="600" w:lineRule="exact"/>
        <w:ind w:firstLine="640" w:firstLineChars="200"/>
        <w:rPr>
          <w:rFonts w:hint="eastAsia" w:ascii="仿宋" w:hAnsi="仿宋" w:eastAsia="仿宋"/>
          <w:color w:val="auto"/>
          <w:sz w:val="32"/>
          <w:szCs w:val="32"/>
          <w:highlight w:val="none"/>
        </w:rPr>
      </w:pPr>
    </w:p>
    <w:p w14:paraId="556F1D94">
      <w:pPr>
        <w:spacing w:line="600" w:lineRule="exact"/>
        <w:ind w:firstLine="640" w:firstLineChars="200"/>
        <w:rPr>
          <w:rFonts w:hint="eastAsia" w:ascii="仿宋" w:hAnsi="仿宋" w:eastAsia="仿宋"/>
          <w:color w:val="auto"/>
          <w:sz w:val="32"/>
          <w:szCs w:val="32"/>
          <w:highlight w:val="none"/>
        </w:rPr>
      </w:pPr>
    </w:p>
    <w:p w14:paraId="4ABDA5FE">
      <w:pPr>
        <w:spacing w:line="600" w:lineRule="exact"/>
        <w:ind w:firstLine="640" w:firstLineChars="200"/>
        <w:rPr>
          <w:rFonts w:hint="eastAsia" w:ascii="仿宋" w:hAnsi="仿宋" w:eastAsia="仿宋"/>
          <w:color w:val="auto"/>
          <w:sz w:val="32"/>
          <w:szCs w:val="32"/>
          <w:highlight w:val="none"/>
        </w:rPr>
      </w:pPr>
    </w:p>
    <w:p w14:paraId="75CF5833">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14:paraId="2F2CF5D4">
      <w:pPr>
        <w:spacing w:line="600" w:lineRule="exact"/>
        <w:ind w:firstLine="640" w:firstLineChars="200"/>
        <w:rPr>
          <w:rFonts w:ascii="仿宋" w:hAnsi="仿宋" w:eastAsia="仿宋"/>
          <w:color w:val="auto"/>
          <w:sz w:val="32"/>
          <w:szCs w:val="32"/>
          <w:highlight w:val="none"/>
        </w:rPr>
      </w:pPr>
      <w:r>
        <w:rPr>
          <w:rFonts w:hint="eastAsia" w:ascii="仿宋" w:hAnsi="仿宋" w:eastAsia="仿宋"/>
          <w:sz w:val="32"/>
          <w:szCs w:val="32"/>
          <w:shd w:val="pct10" w:color="auto" w:fill="FFFFFF"/>
          <w:lang w:eastAsia="zh-CN"/>
        </w:rPr>
        <w:drawing>
          <wp:anchor distT="0" distB="0" distL="114300" distR="114300" simplePos="0" relativeHeight="251659264" behindDoc="0" locked="0" layoutInCell="1" allowOverlap="1">
            <wp:simplePos x="0" y="0"/>
            <wp:positionH relativeFrom="column">
              <wp:posOffset>-533400</wp:posOffset>
            </wp:positionH>
            <wp:positionV relativeFrom="paragraph">
              <wp:posOffset>-8625840</wp:posOffset>
            </wp:positionV>
            <wp:extent cx="4703445" cy="2600960"/>
            <wp:effectExtent l="4445" t="4445" r="16510" b="234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2BDC5EC">
      <w:pPr>
        <w:pStyle w:val="18"/>
        <w:numPr>
          <w:ilvl w:val="0"/>
          <w:numId w:val="2"/>
        </w:numPr>
        <w:spacing w:line="600" w:lineRule="exact"/>
        <w:ind w:firstLineChars="0"/>
        <w:outlineLvl w:val="1"/>
        <w:rPr>
          <w:rStyle w:val="17"/>
          <w:rFonts w:ascii="黑体" w:hAnsi="黑体" w:eastAsia="黑体"/>
          <w:b w:val="0"/>
          <w:color w:val="auto"/>
          <w:highlight w:val="none"/>
        </w:rPr>
      </w:pPr>
      <w:bookmarkStart w:id="16" w:name="_Toc15396605"/>
      <w:bookmarkStart w:id="17" w:name="_Toc15377207"/>
      <w:r>
        <w:rPr>
          <w:rFonts w:hint="eastAsia" w:ascii="黑体" w:hAnsi="黑体" w:eastAsia="黑体"/>
          <w:color w:val="auto"/>
          <w:sz w:val="32"/>
          <w:szCs w:val="32"/>
          <w:highlight w:val="none"/>
        </w:rPr>
        <w:t>支</w:t>
      </w:r>
      <w:r>
        <w:rPr>
          <w:rStyle w:val="17"/>
          <w:rFonts w:hint="eastAsia" w:ascii="黑体" w:hAnsi="黑体" w:eastAsia="黑体"/>
          <w:b w:val="0"/>
          <w:color w:val="auto"/>
          <w:highlight w:val="none"/>
        </w:rPr>
        <w:t>出决算情况说明</w:t>
      </w:r>
      <w:bookmarkEnd w:id="16"/>
      <w:bookmarkEnd w:id="17"/>
    </w:p>
    <w:p w14:paraId="7E15DD14">
      <w:pPr>
        <w:spacing w:line="600" w:lineRule="exact"/>
        <w:ind w:firstLine="640" w:firstLineChars="200"/>
        <w:outlineLvl w:val="1"/>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本年支出合计1,634.15万元，其中：基本支出1,415.78万元，占</w:t>
      </w:r>
      <w:r>
        <w:rPr>
          <w:rFonts w:hint="eastAsia" w:ascii="仿宋" w:hAnsi="仿宋" w:eastAsia="仿宋"/>
          <w:color w:val="auto"/>
          <w:sz w:val="32"/>
          <w:szCs w:val="32"/>
          <w:highlight w:val="none"/>
          <w:lang w:val="en-US" w:eastAsia="zh-CN"/>
        </w:rPr>
        <w:t>86.64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；项目支出218.37万元，占</w:t>
      </w:r>
      <w:r>
        <w:rPr>
          <w:rFonts w:hint="eastAsia" w:ascii="仿宋" w:hAnsi="仿宋" w:eastAsia="仿宋"/>
          <w:color w:val="auto"/>
          <w:sz w:val="32"/>
          <w:szCs w:val="32"/>
          <w:highlight w:val="none"/>
          <w:lang w:val="en-US" w:eastAsia="zh-CN"/>
        </w:rPr>
        <w:t>13.36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6E83E02">
      <w:pPr>
        <w:spacing w:line="600" w:lineRule="exact"/>
        <w:ind w:firstLine="640"/>
        <w:rPr>
          <w:rFonts w:ascii="仿宋" w:hAnsi="仿宋" w:eastAsia="仿宋"/>
          <w:color w:val="auto"/>
          <w:sz w:val="32"/>
          <w:szCs w:val="32"/>
          <w:highlight w:val="none"/>
          <w:shd w:val="pct10" w:color="auto" w:fill="FFFFFF"/>
        </w:rPr>
      </w:pPr>
      <w:r>
        <w:rPr>
          <w:rFonts w:hint="eastAsia" w:ascii="仿宋" w:hAnsi="仿宋" w:eastAsia="仿宋"/>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197485</wp:posOffset>
            </wp:positionH>
            <wp:positionV relativeFrom="paragraph">
              <wp:posOffset>167640</wp:posOffset>
            </wp:positionV>
            <wp:extent cx="3980815" cy="2091055"/>
            <wp:effectExtent l="5080" t="4445" r="1460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AA566E2">
      <w:pPr>
        <w:spacing w:line="600" w:lineRule="exact"/>
        <w:ind w:firstLine="640" w:firstLineChars="200"/>
        <w:rPr>
          <w:rFonts w:hint="eastAsia" w:ascii="仿宋" w:hAnsi="仿宋" w:eastAsia="仿宋"/>
          <w:color w:val="auto"/>
          <w:sz w:val="32"/>
          <w:szCs w:val="32"/>
          <w:highlight w:val="none"/>
        </w:rPr>
      </w:pPr>
    </w:p>
    <w:p w14:paraId="5FEE6C9F">
      <w:pPr>
        <w:spacing w:line="600" w:lineRule="exact"/>
        <w:ind w:firstLine="640" w:firstLineChars="200"/>
        <w:rPr>
          <w:rFonts w:hint="eastAsia" w:ascii="仿宋" w:hAnsi="仿宋" w:eastAsia="仿宋"/>
          <w:color w:val="auto"/>
          <w:sz w:val="32"/>
          <w:szCs w:val="32"/>
          <w:highlight w:val="none"/>
        </w:rPr>
      </w:pPr>
    </w:p>
    <w:p w14:paraId="54016FD2">
      <w:pPr>
        <w:spacing w:line="600" w:lineRule="exact"/>
        <w:ind w:firstLine="640" w:firstLineChars="200"/>
        <w:rPr>
          <w:rFonts w:hint="eastAsia" w:ascii="仿宋" w:hAnsi="仿宋" w:eastAsia="仿宋"/>
          <w:color w:val="auto"/>
          <w:sz w:val="32"/>
          <w:szCs w:val="32"/>
          <w:highlight w:val="none"/>
        </w:rPr>
      </w:pPr>
    </w:p>
    <w:p w14:paraId="535C9266">
      <w:pPr>
        <w:spacing w:line="600" w:lineRule="exact"/>
        <w:ind w:firstLine="640" w:firstLineChars="200"/>
        <w:rPr>
          <w:rFonts w:hint="eastAsia" w:ascii="仿宋" w:hAnsi="仿宋" w:eastAsia="仿宋"/>
          <w:color w:val="auto"/>
          <w:sz w:val="32"/>
          <w:szCs w:val="32"/>
          <w:highlight w:val="none"/>
        </w:rPr>
      </w:pPr>
    </w:p>
    <w:p w14:paraId="488917AA">
      <w:pPr>
        <w:spacing w:line="600" w:lineRule="exact"/>
        <w:ind w:firstLine="640" w:firstLineChars="200"/>
        <w:rPr>
          <w:rFonts w:hint="eastAsia" w:ascii="仿宋" w:hAnsi="仿宋" w:eastAsia="仿宋"/>
          <w:color w:val="auto"/>
          <w:sz w:val="32"/>
          <w:szCs w:val="32"/>
          <w:highlight w:val="none"/>
        </w:rPr>
      </w:pPr>
    </w:p>
    <w:p w14:paraId="5DE9E85E">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14:paraId="3D2A74E5">
      <w:pPr>
        <w:spacing w:line="600" w:lineRule="exact"/>
        <w:ind w:firstLine="640" w:firstLineChars="200"/>
        <w:rPr>
          <w:rFonts w:ascii="仿宋_GB2312" w:eastAsia="仿宋_GB2312"/>
          <w:color w:val="auto"/>
          <w:sz w:val="32"/>
          <w:szCs w:val="32"/>
          <w:highlight w:val="none"/>
        </w:rPr>
      </w:pPr>
    </w:p>
    <w:p w14:paraId="094394D5">
      <w:pPr>
        <w:spacing w:line="600" w:lineRule="exact"/>
        <w:ind w:firstLine="640" w:firstLineChars="200"/>
        <w:outlineLvl w:val="1"/>
        <w:rPr>
          <w:rStyle w:val="17"/>
          <w:rFonts w:ascii="黑体" w:hAnsi="黑体" w:eastAsia="黑体"/>
          <w:b w:val="0"/>
          <w:color w:val="auto"/>
          <w:highlight w:val="none"/>
        </w:rPr>
      </w:pPr>
      <w:bookmarkStart w:id="18" w:name="_Toc15396606"/>
      <w:bookmarkStart w:id="19" w:name="_Toc15377208"/>
      <w:r>
        <w:rPr>
          <w:rFonts w:hint="eastAsia" w:ascii="黑体" w:hAnsi="黑体" w:eastAsia="黑体"/>
          <w:color w:val="auto"/>
          <w:sz w:val="32"/>
          <w:szCs w:val="32"/>
          <w:highlight w:val="none"/>
        </w:rPr>
        <w:t>四、财</w:t>
      </w:r>
      <w:r>
        <w:rPr>
          <w:rStyle w:val="17"/>
          <w:rFonts w:hint="eastAsia" w:ascii="黑体" w:hAnsi="黑体" w:eastAsia="黑体"/>
          <w:b w:val="0"/>
          <w:color w:val="auto"/>
          <w:highlight w:val="none"/>
        </w:rPr>
        <w:t>政拨款收入支出决算总体情况说明</w:t>
      </w:r>
      <w:bookmarkEnd w:id="18"/>
      <w:bookmarkEnd w:id="19"/>
    </w:p>
    <w:p w14:paraId="080C89E8">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1634.15</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相比，财政拨款收、支总计各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334.16万元、266.63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24.44%、19.50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人员经费、公用经费增加。</w:t>
      </w:r>
    </w:p>
    <w:p w14:paraId="7830F012">
      <w:pPr>
        <w:pStyle w:val="7"/>
        <w:rPr>
          <w:rFonts w:hint="eastAsia" w:ascii="仿宋" w:hAnsi="仿宋" w:eastAsia="仿宋"/>
          <w:color w:val="auto"/>
          <w:sz w:val="32"/>
          <w:szCs w:val="32"/>
          <w:highlight w:val="none"/>
        </w:rPr>
      </w:pPr>
      <w:r>
        <w:rPr>
          <w:rFonts w:hint="default"/>
          <w:lang w:val="en-US" w:eastAsia="zh-CN"/>
        </w:rPr>
        <w:drawing>
          <wp:inline distT="0" distB="0" distL="114300" distR="114300">
            <wp:extent cx="5034915" cy="3218815"/>
            <wp:effectExtent l="4445" t="4445" r="8890" b="1524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27ED9A">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39E3BE36">
      <w:pPr>
        <w:spacing w:line="600" w:lineRule="exact"/>
        <w:ind w:firstLine="640"/>
        <w:rPr>
          <w:rFonts w:ascii="仿宋" w:hAnsi="仿宋" w:eastAsia="仿宋"/>
          <w:b/>
          <w:color w:val="auto"/>
          <w:sz w:val="32"/>
          <w:szCs w:val="32"/>
          <w:highlight w:val="none"/>
        </w:rPr>
      </w:pPr>
    </w:p>
    <w:p w14:paraId="236E323A">
      <w:pPr>
        <w:spacing w:line="600" w:lineRule="exact"/>
        <w:ind w:firstLine="640" w:firstLineChars="200"/>
        <w:outlineLvl w:val="1"/>
        <w:rPr>
          <w:rStyle w:val="17"/>
          <w:rFonts w:ascii="黑体" w:hAnsi="黑体" w:eastAsia="黑体"/>
          <w:b w:val="0"/>
          <w:color w:val="auto"/>
          <w:highlight w:val="none"/>
        </w:rPr>
      </w:pPr>
      <w:bookmarkStart w:id="20" w:name="_Toc15396607"/>
      <w:bookmarkStart w:id="21"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般公共预算财政拨款支出决算情况说明</w:t>
      </w:r>
      <w:bookmarkEnd w:id="20"/>
      <w:bookmarkEnd w:id="21"/>
    </w:p>
    <w:p w14:paraId="39B43C91">
      <w:pPr>
        <w:spacing w:line="600" w:lineRule="exact"/>
        <w:ind w:firstLine="643" w:firstLineChars="200"/>
        <w:outlineLvl w:val="2"/>
        <w:rPr>
          <w:rFonts w:ascii="仿宋" w:hAnsi="仿宋" w:eastAsia="仿宋"/>
          <w:b/>
          <w:color w:val="auto"/>
          <w:sz w:val="32"/>
          <w:szCs w:val="32"/>
          <w:highlight w:val="none"/>
        </w:rPr>
      </w:pPr>
      <w:bookmarkStart w:id="22" w:name="_Toc15377210"/>
      <w:r>
        <w:rPr>
          <w:rFonts w:hint="eastAsia" w:ascii="仿宋" w:hAnsi="仿宋" w:eastAsia="仿宋"/>
          <w:b/>
          <w:color w:val="auto"/>
          <w:sz w:val="32"/>
          <w:szCs w:val="32"/>
          <w:highlight w:val="none"/>
        </w:rPr>
        <w:t>（一）一般公共预算财政拨款支出决算总体情况</w:t>
      </w:r>
      <w:bookmarkEnd w:id="22"/>
    </w:p>
    <w:p w14:paraId="1FB5103C">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1634.15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266.63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24.44%</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人员经费、公用经费增加。</w:t>
      </w:r>
    </w:p>
    <w:p w14:paraId="345631DC">
      <w:pPr>
        <w:spacing w:line="600" w:lineRule="exact"/>
        <w:ind w:firstLine="420" w:firstLineChars="200"/>
        <w:rPr>
          <w:rFonts w:ascii="仿宋" w:hAnsi="仿宋" w:eastAsia="仿宋"/>
          <w:color w:val="auto"/>
          <w:sz w:val="32"/>
          <w:szCs w:val="32"/>
          <w:highlight w:val="none"/>
        </w:rPr>
      </w:pPr>
      <w:r>
        <w:rPr>
          <w:rFonts w:hint="default"/>
          <w:lang w:val="en-US" w:eastAsia="zh-CN"/>
        </w:rPr>
        <w:drawing>
          <wp:anchor distT="0" distB="0" distL="114300" distR="114300" simplePos="0" relativeHeight="251662336" behindDoc="0" locked="0" layoutInCell="1" allowOverlap="1">
            <wp:simplePos x="0" y="0"/>
            <wp:positionH relativeFrom="column">
              <wp:posOffset>271780</wp:posOffset>
            </wp:positionH>
            <wp:positionV relativeFrom="paragraph">
              <wp:posOffset>36195</wp:posOffset>
            </wp:positionV>
            <wp:extent cx="4458335" cy="2059940"/>
            <wp:effectExtent l="5080" t="4445" r="13335" b="1206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606EFB2">
      <w:pPr>
        <w:pStyle w:val="7"/>
        <w:rPr>
          <w:rFonts w:ascii="仿宋" w:hAnsi="仿宋" w:eastAsia="仿宋"/>
          <w:color w:val="auto"/>
          <w:sz w:val="32"/>
          <w:szCs w:val="32"/>
          <w:highlight w:val="none"/>
        </w:rPr>
      </w:pPr>
    </w:p>
    <w:p w14:paraId="398B5DAF">
      <w:pPr>
        <w:pStyle w:val="7"/>
        <w:rPr>
          <w:rFonts w:ascii="仿宋" w:hAnsi="仿宋" w:eastAsia="仿宋"/>
          <w:color w:val="auto"/>
          <w:sz w:val="32"/>
          <w:szCs w:val="32"/>
          <w:highlight w:val="none"/>
        </w:rPr>
      </w:pPr>
    </w:p>
    <w:p w14:paraId="5FEDD6E4">
      <w:pPr>
        <w:pStyle w:val="7"/>
        <w:rPr>
          <w:rFonts w:ascii="仿宋" w:hAnsi="仿宋" w:eastAsia="仿宋"/>
          <w:color w:val="auto"/>
          <w:sz w:val="32"/>
          <w:szCs w:val="32"/>
          <w:highlight w:val="none"/>
        </w:rPr>
      </w:pPr>
    </w:p>
    <w:p w14:paraId="62E92AF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3713E64C">
      <w:pPr>
        <w:spacing w:line="600" w:lineRule="exact"/>
        <w:ind w:firstLine="640" w:firstLineChars="200"/>
        <w:rPr>
          <w:rFonts w:ascii="仿宋" w:hAnsi="仿宋" w:eastAsia="仿宋"/>
          <w:color w:val="auto"/>
          <w:sz w:val="32"/>
          <w:szCs w:val="32"/>
          <w:highlight w:val="none"/>
        </w:rPr>
      </w:pPr>
    </w:p>
    <w:p w14:paraId="51DE63B7">
      <w:pPr>
        <w:spacing w:line="600" w:lineRule="exact"/>
        <w:ind w:firstLine="643" w:firstLineChars="200"/>
        <w:outlineLvl w:val="2"/>
        <w:rPr>
          <w:rFonts w:ascii="仿宋" w:hAnsi="仿宋" w:eastAsia="仿宋"/>
          <w:b/>
          <w:color w:val="auto"/>
          <w:sz w:val="32"/>
          <w:szCs w:val="32"/>
          <w:highlight w:val="none"/>
        </w:rPr>
      </w:pPr>
      <w:bookmarkStart w:id="23" w:name="_Toc15377211"/>
      <w:r>
        <w:rPr>
          <w:rFonts w:hint="eastAsia" w:ascii="仿宋" w:hAnsi="仿宋" w:eastAsia="仿宋"/>
          <w:b/>
          <w:color w:val="auto"/>
          <w:sz w:val="32"/>
          <w:szCs w:val="32"/>
          <w:highlight w:val="none"/>
        </w:rPr>
        <w:t>（二）一般公共预算财政拨款支出决算结构情况</w:t>
      </w:r>
      <w:bookmarkEnd w:id="23"/>
    </w:p>
    <w:p w14:paraId="28A35B5F">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1634.15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1,370.16万元，占</w:t>
      </w:r>
      <w:r>
        <w:rPr>
          <w:rFonts w:hint="eastAsia" w:ascii="仿宋" w:hAnsi="仿宋" w:eastAsia="仿宋"/>
          <w:color w:val="auto"/>
          <w:sz w:val="32"/>
          <w:szCs w:val="32"/>
          <w:highlight w:val="none"/>
          <w:lang w:val="en-US" w:eastAsia="zh-CN"/>
        </w:rPr>
        <w:t>83.85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167.66万元，占</w:t>
      </w:r>
      <w:r>
        <w:rPr>
          <w:rFonts w:hint="eastAsia" w:ascii="仿宋" w:hAnsi="仿宋" w:eastAsia="仿宋"/>
          <w:color w:val="auto"/>
          <w:sz w:val="32"/>
          <w:szCs w:val="32"/>
          <w:highlight w:val="none"/>
          <w:lang w:val="en-US" w:eastAsia="zh-CN"/>
        </w:rPr>
        <w:t>10.26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30.35万元，占</w:t>
      </w:r>
      <w:r>
        <w:rPr>
          <w:rFonts w:hint="eastAsia" w:ascii="仿宋" w:hAnsi="仿宋" w:eastAsia="仿宋"/>
          <w:color w:val="auto"/>
          <w:sz w:val="32"/>
          <w:szCs w:val="32"/>
          <w:highlight w:val="none"/>
          <w:lang w:val="en-US" w:eastAsia="zh-CN"/>
        </w:rPr>
        <w:t>1.85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65.98万元，占</w:t>
      </w:r>
      <w:r>
        <w:rPr>
          <w:rFonts w:hint="eastAsia" w:ascii="仿宋" w:hAnsi="仿宋" w:eastAsia="仿宋"/>
          <w:color w:val="auto"/>
          <w:sz w:val="32"/>
          <w:szCs w:val="32"/>
          <w:highlight w:val="none"/>
          <w:lang w:val="en-US" w:eastAsia="zh-CN"/>
        </w:rPr>
        <w:t>4.04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51BC399">
      <w:pPr>
        <w:pStyle w:val="7"/>
        <w:rPr>
          <w:rFonts w:ascii="仿宋" w:hAnsi="仿宋" w:eastAsia="仿宋"/>
          <w:color w:val="auto"/>
          <w:sz w:val="32"/>
          <w:szCs w:val="32"/>
          <w:highlight w:val="none"/>
        </w:rPr>
      </w:pPr>
      <w:r>
        <w:rPr>
          <w:rFonts w:hint="eastAsia" w:ascii="仿宋" w:hAnsi="仿宋" w:eastAsia="仿宋"/>
          <w:sz w:val="32"/>
          <w:szCs w:val="32"/>
          <w:lang w:eastAsia="zh-CN"/>
        </w:rPr>
        <w:drawing>
          <wp:inline distT="0" distB="0" distL="114300" distR="114300">
            <wp:extent cx="4773930" cy="2583180"/>
            <wp:effectExtent l="4445" t="4445" r="22225" b="222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C39EE7">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3011291E">
      <w:pPr>
        <w:spacing w:line="600" w:lineRule="exact"/>
        <w:ind w:firstLine="640" w:firstLineChars="200"/>
        <w:rPr>
          <w:rFonts w:ascii="仿宋" w:hAnsi="仿宋" w:eastAsia="仿宋"/>
          <w:color w:val="auto"/>
          <w:sz w:val="32"/>
          <w:szCs w:val="32"/>
          <w:highlight w:val="none"/>
        </w:rPr>
      </w:pPr>
    </w:p>
    <w:p w14:paraId="2150DC28">
      <w:pPr>
        <w:spacing w:line="600" w:lineRule="exact"/>
        <w:ind w:firstLine="643" w:firstLineChars="200"/>
        <w:outlineLvl w:val="2"/>
        <w:rPr>
          <w:rFonts w:ascii="仿宋" w:hAnsi="仿宋" w:eastAsia="仿宋"/>
          <w:b/>
          <w:color w:val="auto"/>
          <w:sz w:val="32"/>
          <w:szCs w:val="32"/>
          <w:highlight w:val="none"/>
        </w:rPr>
      </w:pPr>
      <w:bookmarkStart w:id="24" w:name="_Toc15377212"/>
      <w:r>
        <w:rPr>
          <w:rFonts w:hint="eastAsia" w:ascii="仿宋" w:hAnsi="仿宋" w:eastAsia="仿宋"/>
          <w:b/>
          <w:color w:val="auto"/>
          <w:sz w:val="32"/>
          <w:szCs w:val="32"/>
          <w:highlight w:val="none"/>
        </w:rPr>
        <w:t>（三）一般公共预算财政拨款支出决算具体情况</w:t>
      </w:r>
      <w:bookmarkEnd w:id="24"/>
    </w:p>
    <w:p w14:paraId="7E212A13">
      <w:pPr>
        <w:spacing w:line="600" w:lineRule="exact"/>
        <w:ind w:firstLine="643" w:firstLineChars="200"/>
        <w:outlineLvl w:val="2"/>
        <w:rPr>
          <w:rFonts w:ascii="仿宋" w:hAnsi="仿宋" w:eastAsia="仿宋"/>
          <w:color w:val="auto"/>
          <w:sz w:val="32"/>
          <w:szCs w:val="32"/>
          <w:highlight w:val="none"/>
        </w:rPr>
      </w:pPr>
      <w:bookmarkStart w:id="25" w:name="_Toc15377213"/>
      <w:bookmarkStart w:id="26" w:name="_Toc15377444"/>
      <w:bookmarkStart w:id="27" w:name="_Toc15378460"/>
      <w:r>
        <w:rPr>
          <w:rFonts w:hint="eastAsia" w:ascii="仿宋" w:hAnsi="仿宋" w:eastAsia="仿宋"/>
          <w:b/>
          <w:color w:val="auto"/>
          <w:sz w:val="32"/>
          <w:szCs w:val="32"/>
          <w:highlight w:val="none"/>
          <w:lang w:eastAsia="zh-CN"/>
        </w:rPr>
        <w:t>2023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度一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1634.15</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25"/>
      <w:bookmarkEnd w:id="26"/>
      <w:bookmarkEnd w:id="27"/>
    </w:p>
    <w:p w14:paraId="70732B56">
      <w:pPr>
        <w:spacing w:line="600" w:lineRule="exact"/>
        <w:ind w:firstLine="643" w:firstLineChars="200"/>
        <w:rPr>
          <w:rFonts w:ascii="仿宋" w:hAnsi="仿宋" w:eastAsia="仿宋"/>
          <w:b/>
          <w:sz w:val="32"/>
          <w:szCs w:val="32"/>
        </w:rPr>
      </w:pPr>
      <w:r>
        <w:rPr>
          <w:rStyle w:val="14"/>
          <w:rFonts w:ascii="仿宋" w:hAnsi="仿宋" w:eastAsia="仿宋"/>
          <w:bCs/>
          <w:sz w:val="32"/>
          <w:szCs w:val="32"/>
        </w:rPr>
        <w:t>1.</w:t>
      </w:r>
      <w:r>
        <w:rPr>
          <w:rStyle w:val="14"/>
          <w:rFonts w:hint="eastAsia" w:ascii="仿宋" w:hAnsi="仿宋" w:eastAsia="仿宋"/>
          <w:bCs/>
          <w:sz w:val="32"/>
          <w:szCs w:val="32"/>
        </w:rPr>
        <w:t>一般公共服务（类）纪检监察事务（款）行政运行（项）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885.60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08C4DBBC">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2</w:t>
      </w:r>
      <w:r>
        <w:rPr>
          <w:rStyle w:val="14"/>
          <w:rFonts w:ascii="仿宋" w:hAnsi="仿宋" w:eastAsia="仿宋"/>
          <w:bCs/>
          <w:sz w:val="32"/>
          <w:szCs w:val="32"/>
        </w:rPr>
        <w:t>.</w:t>
      </w:r>
      <w:r>
        <w:rPr>
          <w:rStyle w:val="14"/>
          <w:rFonts w:hint="eastAsia" w:ascii="仿宋" w:hAnsi="仿宋" w:eastAsia="仿宋"/>
          <w:bCs/>
          <w:sz w:val="32"/>
          <w:szCs w:val="32"/>
        </w:rPr>
        <w:t>一般公共服务（类）纪检监察事务（款）</w:t>
      </w:r>
      <w:r>
        <w:rPr>
          <w:rStyle w:val="14"/>
          <w:rFonts w:hint="eastAsia" w:ascii="仿宋" w:hAnsi="仿宋" w:eastAsia="仿宋"/>
          <w:bCs/>
          <w:sz w:val="32"/>
          <w:szCs w:val="32"/>
          <w:lang w:eastAsia="zh-CN"/>
        </w:rPr>
        <w:t>大案要案查处</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218.37</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04D7197F">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3</w:t>
      </w:r>
      <w:r>
        <w:rPr>
          <w:rStyle w:val="14"/>
          <w:rFonts w:ascii="仿宋" w:hAnsi="仿宋" w:eastAsia="仿宋"/>
          <w:bCs/>
          <w:sz w:val="32"/>
          <w:szCs w:val="32"/>
        </w:rPr>
        <w:t>.</w:t>
      </w:r>
      <w:r>
        <w:rPr>
          <w:rStyle w:val="14"/>
          <w:rFonts w:hint="eastAsia" w:ascii="仿宋" w:hAnsi="仿宋" w:eastAsia="仿宋"/>
          <w:bCs/>
          <w:sz w:val="32"/>
          <w:szCs w:val="32"/>
        </w:rPr>
        <w:t>一般公共服务（类）纪检监察事务（款）</w:t>
      </w:r>
      <w:r>
        <w:rPr>
          <w:rStyle w:val="14"/>
          <w:rFonts w:hint="eastAsia" w:ascii="仿宋" w:hAnsi="仿宋" w:eastAsia="仿宋"/>
          <w:bCs/>
          <w:sz w:val="32"/>
          <w:szCs w:val="32"/>
          <w:lang w:eastAsia="zh-CN"/>
        </w:rPr>
        <w:t>事业运行</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64.20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67D859F">
      <w:pPr>
        <w:spacing w:line="600" w:lineRule="exact"/>
        <w:ind w:firstLine="643" w:firstLineChars="200"/>
        <w:rPr>
          <w:rStyle w:val="14"/>
          <w:rFonts w:ascii="仿宋" w:hAnsi="仿宋" w:eastAsia="仿宋"/>
          <w:b w:val="0"/>
          <w:bCs w:val="0"/>
          <w:sz w:val="32"/>
          <w:szCs w:val="32"/>
        </w:rPr>
      </w:pPr>
      <w:r>
        <w:rPr>
          <w:rStyle w:val="14"/>
          <w:rFonts w:hint="eastAsia" w:ascii="仿宋" w:hAnsi="仿宋" w:eastAsia="仿宋"/>
          <w:bCs/>
          <w:sz w:val="32"/>
          <w:szCs w:val="32"/>
          <w:lang w:val="en-US" w:eastAsia="zh-CN"/>
        </w:rPr>
        <w:t>4</w:t>
      </w:r>
      <w:r>
        <w:rPr>
          <w:rStyle w:val="14"/>
          <w:rFonts w:ascii="仿宋" w:hAnsi="仿宋" w:eastAsia="仿宋"/>
          <w:bCs/>
          <w:sz w:val="32"/>
          <w:szCs w:val="32"/>
        </w:rPr>
        <w:t>.</w:t>
      </w:r>
      <w:r>
        <w:rPr>
          <w:rStyle w:val="14"/>
          <w:rFonts w:hint="eastAsia" w:ascii="仿宋" w:hAnsi="仿宋" w:eastAsia="仿宋"/>
          <w:bCs/>
          <w:sz w:val="32"/>
          <w:szCs w:val="32"/>
        </w:rPr>
        <w:t>一般公共服务（类）纪检监察事务（款）</w:t>
      </w:r>
      <w:r>
        <w:rPr>
          <w:rStyle w:val="14"/>
          <w:rFonts w:hint="eastAsia" w:ascii="仿宋" w:hAnsi="仿宋" w:eastAsia="仿宋"/>
          <w:bCs/>
          <w:sz w:val="32"/>
          <w:szCs w:val="32"/>
          <w:lang w:eastAsia="zh-CN"/>
        </w:rPr>
        <w:t>其他纪检监察事务支出</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202.00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65538A3">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5</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 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87.98</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5853DC6">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lang w:val="en-US" w:eastAsia="zh-CN"/>
        </w:rPr>
        <w:t>6</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43.38</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479EDC38">
      <w:pPr>
        <w:spacing w:line="600" w:lineRule="exact"/>
        <w:ind w:firstLine="643" w:firstLineChars="200"/>
      </w:pPr>
      <w:r>
        <w:rPr>
          <w:rStyle w:val="14"/>
          <w:rFonts w:hint="eastAsia" w:ascii="仿宋" w:hAnsi="仿宋" w:eastAsia="仿宋"/>
          <w:bCs/>
          <w:sz w:val="32"/>
          <w:szCs w:val="32"/>
          <w:lang w:val="en-US" w:eastAsia="zh-CN"/>
        </w:rPr>
        <w:t>7</w:t>
      </w:r>
      <w:r>
        <w:rPr>
          <w:rStyle w:val="14"/>
          <w:rFonts w:ascii="仿宋" w:hAnsi="仿宋" w:eastAsia="仿宋"/>
          <w:bCs/>
          <w:sz w:val="32"/>
          <w:szCs w:val="32"/>
        </w:rPr>
        <w:t>.</w:t>
      </w:r>
      <w:r>
        <w:rPr>
          <w:rStyle w:val="14"/>
          <w:rFonts w:hint="eastAsia" w:ascii="仿宋" w:hAnsi="仿宋" w:eastAsia="仿宋"/>
          <w:bCs/>
          <w:sz w:val="32"/>
          <w:szCs w:val="32"/>
        </w:rPr>
        <w:t>社会保障和就业（类）抚恤（款）死亡抚恤（项）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36.30</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36C20D2">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lang w:val="en-US" w:eastAsia="zh-CN"/>
        </w:rPr>
        <w:t>8</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（类）行政事业单位医疗（款）行政单位医疗（项）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21.55</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5C36A0B1">
      <w:pPr>
        <w:spacing w:line="600" w:lineRule="exact"/>
        <w:ind w:firstLine="643" w:firstLineChars="200"/>
        <w:rPr>
          <w:rStyle w:val="14"/>
          <w:rFonts w:hint="eastAsia" w:ascii="仿宋" w:hAnsi="仿宋" w:eastAsia="仿宋"/>
          <w:b w:val="0"/>
          <w:bCs/>
          <w:sz w:val="32"/>
          <w:szCs w:val="32"/>
          <w:lang w:eastAsia="zh-CN"/>
        </w:rPr>
      </w:pPr>
      <w:r>
        <w:rPr>
          <w:rStyle w:val="14"/>
          <w:rFonts w:hint="eastAsia" w:ascii="仿宋" w:hAnsi="仿宋" w:eastAsia="仿宋"/>
          <w:bCs/>
          <w:sz w:val="32"/>
          <w:szCs w:val="32"/>
          <w:lang w:val="en-US" w:eastAsia="zh-CN"/>
        </w:rPr>
        <w:t>9</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w:t>
      </w:r>
      <w:r>
        <w:rPr>
          <w:rStyle w:val="14"/>
          <w:rFonts w:hint="eastAsia" w:ascii="仿宋" w:hAnsi="仿宋" w:eastAsia="仿宋"/>
          <w:bCs/>
          <w:sz w:val="32"/>
          <w:szCs w:val="32"/>
          <w:lang w:eastAsia="zh-CN"/>
        </w:rPr>
        <w:t>事业</w:t>
      </w:r>
      <w:r>
        <w:rPr>
          <w:rStyle w:val="14"/>
          <w:rFonts w:hint="eastAsia" w:ascii="仿宋" w:hAnsi="仿宋" w:eastAsia="仿宋"/>
          <w:bCs/>
          <w:sz w:val="32"/>
          <w:szCs w:val="32"/>
        </w:rPr>
        <w:t>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3.03</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14:paraId="0A6DAE68">
      <w:pPr>
        <w:spacing w:line="600" w:lineRule="exact"/>
        <w:ind w:firstLine="643" w:firstLineChars="200"/>
        <w:rPr>
          <w:rFonts w:hint="eastAsia"/>
          <w:lang w:eastAsia="zh-CN"/>
        </w:rPr>
      </w:pPr>
      <w:r>
        <w:rPr>
          <w:rStyle w:val="14"/>
          <w:rFonts w:hint="eastAsia" w:ascii="仿宋" w:hAnsi="仿宋" w:eastAsia="仿宋"/>
          <w:bCs/>
          <w:sz w:val="32"/>
          <w:szCs w:val="32"/>
          <w:lang w:val="en-US" w:eastAsia="zh-CN"/>
        </w:rPr>
        <w:t>10</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w:t>
      </w:r>
      <w:r>
        <w:rPr>
          <w:rStyle w:val="14"/>
          <w:rFonts w:hint="eastAsia" w:ascii="仿宋" w:hAnsi="仿宋" w:eastAsia="仿宋"/>
          <w:bCs/>
          <w:sz w:val="32"/>
          <w:szCs w:val="32"/>
          <w:lang w:eastAsia="zh-CN"/>
        </w:rPr>
        <w:t>公务员医疗补助</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5.76</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14:paraId="488E366B">
      <w:pPr>
        <w:spacing w:line="600" w:lineRule="exact"/>
        <w:ind w:firstLine="643" w:firstLineChars="200"/>
        <w:rPr>
          <w:rFonts w:hint="eastAsia" w:ascii="仿宋" w:hAnsi="仿宋" w:eastAsia="仿宋"/>
          <w:b/>
          <w:color w:val="auto"/>
          <w:sz w:val="32"/>
          <w:szCs w:val="32"/>
          <w:highlight w:val="none"/>
          <w:lang w:val="en-US" w:eastAsia="zh-CN"/>
        </w:rPr>
      </w:pPr>
      <w:r>
        <w:rPr>
          <w:rStyle w:val="14"/>
          <w:rFonts w:hint="eastAsia" w:ascii="仿宋" w:hAnsi="仿宋" w:eastAsia="仿宋"/>
          <w:bCs/>
          <w:sz w:val="32"/>
          <w:szCs w:val="32"/>
          <w:lang w:val="en-US" w:eastAsia="zh-CN"/>
        </w:rPr>
        <w:t>11</w:t>
      </w:r>
      <w:r>
        <w:rPr>
          <w:rStyle w:val="14"/>
          <w:rFonts w:ascii="仿宋" w:hAnsi="仿宋" w:eastAsia="仿宋"/>
          <w:bCs/>
          <w:sz w:val="32"/>
          <w:szCs w:val="32"/>
        </w:rPr>
        <w:t>.</w:t>
      </w:r>
      <w:r>
        <w:rPr>
          <w:rFonts w:hint="eastAsia" w:ascii="仿宋" w:hAnsi="仿宋" w:eastAsia="仿宋"/>
          <w:b/>
          <w:bCs/>
          <w:sz w:val="32"/>
          <w:szCs w:val="32"/>
          <w:lang w:eastAsia="zh-CN"/>
        </w:rPr>
        <w:t>住房保障</w:t>
      </w:r>
      <w:r>
        <w:rPr>
          <w:rStyle w:val="14"/>
          <w:rFonts w:hint="eastAsia" w:ascii="仿宋" w:hAnsi="仿宋" w:eastAsia="仿宋"/>
          <w:bCs/>
          <w:sz w:val="32"/>
          <w:szCs w:val="32"/>
        </w:rPr>
        <w:t>（类）</w:t>
      </w:r>
      <w:r>
        <w:rPr>
          <w:rStyle w:val="14"/>
          <w:rFonts w:hint="eastAsia" w:ascii="仿宋" w:hAnsi="仿宋" w:eastAsia="仿宋"/>
          <w:bCs/>
          <w:sz w:val="32"/>
          <w:szCs w:val="32"/>
          <w:lang w:eastAsia="zh-CN"/>
        </w:rPr>
        <w:t>住房改革支出</w:t>
      </w:r>
      <w:r>
        <w:rPr>
          <w:rStyle w:val="14"/>
          <w:rFonts w:hint="eastAsia" w:ascii="仿宋" w:hAnsi="仿宋" w:eastAsia="仿宋"/>
          <w:bCs/>
          <w:sz w:val="32"/>
          <w:szCs w:val="32"/>
        </w:rPr>
        <w:t>（款）</w:t>
      </w:r>
      <w:r>
        <w:rPr>
          <w:rStyle w:val="14"/>
          <w:rFonts w:hint="eastAsia" w:ascii="仿宋" w:hAnsi="仿宋" w:eastAsia="仿宋"/>
          <w:bCs/>
          <w:sz w:val="32"/>
          <w:szCs w:val="32"/>
          <w:lang w:eastAsia="zh-CN"/>
        </w:rPr>
        <w:t>住房公积金</w:t>
      </w:r>
      <w:r>
        <w:rPr>
          <w:rStyle w:val="14"/>
          <w:rFonts w:hint="eastAsia" w:ascii="仿宋" w:hAnsi="仿宋" w:eastAsia="仿宋"/>
          <w:bCs/>
          <w:sz w:val="32"/>
          <w:szCs w:val="32"/>
        </w:rPr>
        <w:t>（项）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65.98</w:t>
      </w:r>
      <w:r>
        <w:rPr>
          <w:rStyle w:val="14"/>
          <w:rFonts w:hint="eastAsia" w:ascii="仿宋" w:hAnsi="仿宋" w:eastAsia="仿宋"/>
          <w:b w:val="0"/>
          <w:bCs/>
          <w:sz w:val="32"/>
          <w:szCs w:val="32"/>
        </w:rPr>
        <w:t>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b w:val="0"/>
          <w:bCs/>
          <w:sz w:val="32"/>
          <w:szCs w:val="32"/>
          <w:lang w:eastAsia="zh-CN"/>
        </w:rPr>
        <w:t>。</w:t>
      </w:r>
    </w:p>
    <w:p w14:paraId="43C491A0">
      <w:pPr>
        <w:tabs>
          <w:tab w:val="right" w:pos="8306"/>
        </w:tabs>
        <w:spacing w:line="600" w:lineRule="exact"/>
        <w:ind w:firstLine="640"/>
        <w:outlineLvl w:val="1"/>
        <w:rPr>
          <w:rStyle w:val="17"/>
          <w:color w:val="auto"/>
          <w:highlight w:val="none"/>
        </w:rPr>
      </w:pPr>
      <w:bookmarkStart w:id="28" w:name="_Toc15396608"/>
      <w:bookmarkStart w:id="29"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般公共预算财政拨款基本支出决算情况说明</w:t>
      </w:r>
      <w:bookmarkEnd w:id="28"/>
      <w:bookmarkEnd w:id="29"/>
      <w:r>
        <w:rPr>
          <w:rStyle w:val="17"/>
          <w:rFonts w:ascii="黑体" w:hAnsi="黑体" w:eastAsia="黑体"/>
          <w:b w:val="0"/>
          <w:color w:val="auto"/>
          <w:highlight w:val="none"/>
        </w:rPr>
        <w:tab/>
      </w:r>
    </w:p>
    <w:p w14:paraId="51718432">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一般公共预算财政拨款基本支出1,415.78万元，其中：</w:t>
      </w:r>
    </w:p>
    <w:p w14:paraId="0FA6C9DD">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932.4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483.38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E219FED">
      <w:pPr>
        <w:spacing w:line="600" w:lineRule="exact"/>
        <w:rPr>
          <w:rFonts w:ascii="仿宋" w:hAnsi="仿宋" w:eastAsia="仿宋"/>
          <w:b/>
          <w:color w:val="auto"/>
          <w:sz w:val="32"/>
          <w:szCs w:val="32"/>
          <w:highlight w:val="none"/>
        </w:rPr>
      </w:pPr>
    </w:p>
    <w:p w14:paraId="40B49D2D">
      <w:pPr>
        <w:spacing w:line="600" w:lineRule="exact"/>
        <w:ind w:firstLine="640"/>
        <w:outlineLvl w:val="1"/>
        <w:rPr>
          <w:rStyle w:val="17"/>
          <w:rFonts w:ascii="黑体" w:hAnsi="黑体" w:eastAsia="黑体"/>
          <w:b w:val="0"/>
          <w:color w:val="auto"/>
          <w:highlight w:val="none"/>
        </w:rPr>
      </w:pPr>
      <w:bookmarkStart w:id="30" w:name="_Toc15396609"/>
      <w:bookmarkStart w:id="31" w:name="_Toc15377215"/>
      <w:r>
        <w:rPr>
          <w:rFonts w:hint="eastAsia" w:ascii="黑体" w:eastAsia="黑体"/>
          <w:color w:val="auto"/>
          <w:sz w:val="32"/>
          <w:szCs w:val="32"/>
          <w:highlight w:val="none"/>
        </w:rPr>
        <w:t>七、</w:t>
      </w:r>
      <w:r>
        <w:rPr>
          <w:rStyle w:val="17"/>
          <w:rFonts w:hint="eastAsia" w:ascii="黑体" w:hAnsi="黑体" w:eastAsia="黑体"/>
          <w:b w:val="0"/>
          <w:color w:val="auto"/>
          <w:highlight w:val="none"/>
        </w:rPr>
        <w:t>财政拨款</w:t>
      </w:r>
      <w:r>
        <w:rPr>
          <w:rStyle w:val="17"/>
          <w:rFonts w:hint="eastAsia" w:ascii="黑体" w:hAnsi="黑体" w:eastAsia="黑体"/>
          <w:color w:val="auto"/>
          <w:highlight w:val="none"/>
        </w:rPr>
        <w:t>“</w:t>
      </w:r>
      <w:r>
        <w:rPr>
          <w:rStyle w:val="17"/>
          <w:rFonts w:hint="eastAsia" w:ascii="黑体" w:hAnsi="黑体" w:eastAsia="黑体"/>
          <w:b w:val="0"/>
          <w:color w:val="auto"/>
          <w:highlight w:val="none"/>
        </w:rPr>
        <w:t>三公”经费支出决算情况说明</w:t>
      </w:r>
      <w:bookmarkEnd w:id="30"/>
      <w:bookmarkEnd w:id="31"/>
    </w:p>
    <w:p w14:paraId="20D7C714">
      <w:pPr>
        <w:spacing w:line="600" w:lineRule="exact"/>
        <w:ind w:firstLine="640"/>
        <w:outlineLvl w:val="2"/>
        <w:rPr>
          <w:rFonts w:ascii="仿宋" w:hAnsi="仿宋" w:eastAsia="仿宋"/>
          <w:b/>
          <w:color w:val="auto"/>
          <w:sz w:val="32"/>
          <w:szCs w:val="32"/>
          <w:highlight w:val="none"/>
        </w:rPr>
      </w:pPr>
      <w:bookmarkStart w:id="32" w:name="_Toc15377216"/>
      <w:r>
        <w:rPr>
          <w:rFonts w:hint="eastAsia" w:ascii="仿宋" w:hAnsi="仿宋" w:eastAsia="仿宋"/>
          <w:b/>
          <w:color w:val="auto"/>
          <w:sz w:val="32"/>
          <w:szCs w:val="32"/>
          <w:highlight w:val="none"/>
        </w:rPr>
        <w:t>（一）“三公”经费财政拨款支出决算总体情况说明</w:t>
      </w:r>
      <w:bookmarkEnd w:id="32"/>
    </w:p>
    <w:p w14:paraId="2B3FED02">
      <w:pPr>
        <w:spacing w:line="600" w:lineRule="exact"/>
        <w:ind w:firstLine="640"/>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14.25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较上年度</w:t>
      </w:r>
      <w:r>
        <w:rPr>
          <w:rFonts w:hint="eastAsia" w:ascii="仿宋" w:hAnsi="仿宋" w:eastAsia="仿宋"/>
          <w:color w:val="auto"/>
          <w:sz w:val="32"/>
          <w:szCs w:val="32"/>
          <w:highlight w:val="none"/>
          <w:lang w:val="en-US" w:eastAsia="zh-CN"/>
        </w:rPr>
        <w:t>减少40.65万元，下降74.04%。</w:t>
      </w:r>
    </w:p>
    <w:p w14:paraId="4F2E246F">
      <w:pPr>
        <w:spacing w:line="600" w:lineRule="exact"/>
        <w:ind w:firstLine="640"/>
        <w:outlineLvl w:val="2"/>
        <w:rPr>
          <w:rFonts w:ascii="仿宋" w:hAnsi="仿宋" w:eastAsia="仿宋"/>
          <w:b/>
          <w:color w:val="auto"/>
          <w:sz w:val="32"/>
          <w:szCs w:val="32"/>
          <w:highlight w:val="none"/>
        </w:rPr>
      </w:pPr>
      <w:bookmarkStart w:id="33" w:name="_Toc15377217"/>
      <w:r>
        <w:rPr>
          <w:rFonts w:hint="eastAsia" w:ascii="仿宋" w:hAnsi="仿宋" w:eastAsia="仿宋"/>
          <w:b/>
          <w:color w:val="auto"/>
          <w:sz w:val="32"/>
          <w:szCs w:val="32"/>
          <w:highlight w:val="none"/>
        </w:rPr>
        <w:t>（二）“三公”经费财政拨款支出决算具体情况说明</w:t>
      </w:r>
      <w:bookmarkEnd w:id="33"/>
    </w:p>
    <w:p w14:paraId="327B20A0">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13.89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97.47</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2.53</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22458770">
      <w:pPr>
        <w:pStyle w:val="7"/>
        <w:rPr>
          <w:rFonts w:hint="eastAsia" w:ascii="仿宋" w:hAnsi="仿宋" w:eastAsia="仿宋"/>
          <w:color w:val="auto"/>
          <w:sz w:val="32"/>
          <w:szCs w:val="32"/>
          <w:highlight w:val="none"/>
        </w:rPr>
      </w:pPr>
      <w:r>
        <w:rPr>
          <w:rFonts w:hint="eastAsia" w:eastAsia="仿宋_GB2312"/>
          <w:lang w:eastAsia="zh-CN"/>
        </w:rPr>
        <w:drawing>
          <wp:inline distT="0" distB="0" distL="114300" distR="114300">
            <wp:extent cx="4783455" cy="2221230"/>
            <wp:effectExtent l="4445" t="4445" r="1270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81BA70">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09A33851">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710C5B7">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13.89</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减少</w:t>
      </w:r>
      <w:r>
        <w:rPr>
          <w:rFonts w:hint="eastAsia" w:ascii="仿宋" w:hAnsi="仿宋" w:eastAsia="仿宋"/>
          <w:color w:val="auto"/>
          <w:sz w:val="32"/>
          <w:szCs w:val="32"/>
          <w:highlight w:val="none"/>
          <w:lang w:val="en-US" w:eastAsia="zh-CN"/>
        </w:rPr>
        <w:t>40.65</w:t>
      </w:r>
      <w:r>
        <w:rPr>
          <w:rFonts w:hint="eastAsia" w:ascii="仿宋_GB2312" w:eastAsia="仿宋_GB2312"/>
          <w:color w:val="auto"/>
          <w:sz w:val="32"/>
          <w:szCs w:val="32"/>
          <w:highlight w:val="none"/>
        </w:rPr>
        <w:t>万元，下降</w:t>
      </w:r>
      <w:r>
        <w:rPr>
          <w:rFonts w:hint="eastAsia" w:ascii="仿宋" w:hAnsi="仿宋" w:eastAsia="仿宋"/>
          <w:color w:val="auto"/>
          <w:sz w:val="32"/>
          <w:szCs w:val="32"/>
          <w:highlight w:val="none"/>
          <w:lang w:val="en-US" w:eastAsia="zh-CN"/>
        </w:rPr>
        <w:t>74.04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2022年新</w:t>
      </w:r>
      <w:r>
        <w:rPr>
          <w:rFonts w:hint="eastAsia" w:ascii="仿宋_GB2312" w:eastAsia="仿宋_GB2312"/>
          <w:color w:val="auto"/>
          <w:sz w:val="32"/>
          <w:szCs w:val="32"/>
          <w:highlight w:val="none"/>
          <w:lang w:eastAsia="zh-CN"/>
        </w:rPr>
        <w:t>购置两辆公务用车，</w:t>
      </w:r>
      <w:r>
        <w:rPr>
          <w:rFonts w:hint="eastAsia" w:ascii="仿宋_GB2312" w:eastAsia="仿宋_GB2312"/>
          <w:color w:val="auto"/>
          <w:sz w:val="32"/>
          <w:szCs w:val="32"/>
          <w:highlight w:val="none"/>
          <w:lang w:val="en-US" w:eastAsia="zh-CN"/>
        </w:rPr>
        <w:t>2023年未新购公务用车</w:t>
      </w:r>
      <w:r>
        <w:rPr>
          <w:rFonts w:hint="eastAsia" w:ascii="仿宋_GB2312" w:eastAsia="仿宋_GB2312"/>
          <w:color w:val="auto"/>
          <w:sz w:val="32"/>
          <w:szCs w:val="32"/>
          <w:highlight w:val="none"/>
        </w:rPr>
        <w:t>。</w:t>
      </w:r>
    </w:p>
    <w:p w14:paraId="36335110">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31日</w:t>
      </w:r>
      <w:r>
        <w:rPr>
          <w:rFonts w:hint="eastAsia" w:ascii="仿宋_GB2312" w:eastAsia="仿宋_GB2312"/>
          <w:color w:val="auto"/>
          <w:sz w:val="32"/>
          <w:szCs w:val="32"/>
          <w:highlight w:val="none"/>
        </w:rPr>
        <w:t>，单位共有公务用车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p>
    <w:p w14:paraId="12DD90F5">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13.89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执法执勤</w:t>
      </w:r>
      <w:r>
        <w:rPr>
          <w:rFonts w:hint="eastAsia" w:ascii="仿宋_GB2312" w:eastAsia="仿宋_GB2312"/>
          <w:color w:val="auto"/>
          <w:sz w:val="32"/>
          <w:szCs w:val="32"/>
          <w:highlight w:val="none"/>
        </w:rPr>
        <w:t>等所需的公务用车燃料费、维修费、过路过桥费、保险费等支出。</w:t>
      </w:r>
    </w:p>
    <w:p w14:paraId="0CF2C8C2">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0.37</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1.63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81.50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公务接待减少</w:t>
      </w:r>
      <w:r>
        <w:rPr>
          <w:rFonts w:hint="eastAsia" w:ascii="仿宋_GB2312" w:eastAsia="仿宋_GB2312"/>
          <w:color w:val="auto"/>
          <w:sz w:val="32"/>
          <w:szCs w:val="32"/>
          <w:highlight w:val="none"/>
        </w:rPr>
        <w:t>。其中：</w:t>
      </w:r>
    </w:p>
    <w:p w14:paraId="6ECE7C5F">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调研、交流学习等</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0.37</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省市纪委调研接待</w:t>
      </w:r>
      <w:r>
        <w:rPr>
          <w:rFonts w:hint="eastAsia" w:ascii="仿宋_GB2312" w:eastAsia="仿宋_GB2312"/>
          <w:color w:val="auto"/>
          <w:sz w:val="32"/>
          <w:szCs w:val="32"/>
          <w:highlight w:val="none"/>
        </w:rPr>
        <w:t>。</w:t>
      </w:r>
    </w:p>
    <w:p w14:paraId="2C28A166">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78E71954">
      <w:pPr>
        <w:spacing w:line="600" w:lineRule="exact"/>
        <w:ind w:firstLine="640"/>
        <w:outlineLvl w:val="1"/>
        <w:rPr>
          <w:rFonts w:ascii="黑体" w:eastAsia="黑体"/>
          <w:color w:val="auto"/>
          <w:sz w:val="32"/>
          <w:szCs w:val="32"/>
          <w:highlight w:val="none"/>
        </w:rPr>
      </w:pPr>
      <w:bookmarkStart w:id="34" w:name="_Toc15377218"/>
      <w:bookmarkStart w:id="35" w:name="_Toc15396610"/>
    </w:p>
    <w:p w14:paraId="166A32B3">
      <w:pPr>
        <w:spacing w:line="600" w:lineRule="exact"/>
        <w:ind w:firstLine="640"/>
        <w:outlineLvl w:val="1"/>
        <w:rPr>
          <w:rStyle w:val="17"/>
          <w:rFonts w:ascii="黑体" w:hAnsi="黑体" w:eastAsia="黑体"/>
          <w:color w:val="auto"/>
          <w:highlight w:val="none"/>
        </w:rPr>
      </w:pPr>
      <w:r>
        <w:rPr>
          <w:rFonts w:hint="eastAsia" w:ascii="黑体" w:eastAsia="黑体"/>
          <w:color w:val="auto"/>
          <w:sz w:val="32"/>
          <w:szCs w:val="32"/>
          <w:highlight w:val="none"/>
        </w:rPr>
        <w:t>八、</w:t>
      </w:r>
      <w:r>
        <w:rPr>
          <w:rStyle w:val="17"/>
          <w:rFonts w:hint="eastAsia" w:ascii="黑体" w:hAnsi="黑体" w:eastAsia="黑体"/>
          <w:b w:val="0"/>
          <w:color w:val="auto"/>
          <w:highlight w:val="none"/>
        </w:rPr>
        <w:t>政府性基金预算支出决算情况说明</w:t>
      </w:r>
      <w:bookmarkEnd w:id="34"/>
      <w:bookmarkEnd w:id="35"/>
    </w:p>
    <w:p w14:paraId="7A2150E2">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C81CFEA">
      <w:pPr>
        <w:spacing w:line="600" w:lineRule="exact"/>
        <w:ind w:firstLine="640"/>
        <w:rPr>
          <w:rFonts w:ascii="仿宋_GB2312" w:eastAsia="仿宋_GB2312"/>
          <w:color w:val="auto"/>
          <w:sz w:val="32"/>
          <w:szCs w:val="32"/>
          <w:highlight w:val="none"/>
        </w:rPr>
      </w:pPr>
    </w:p>
    <w:p w14:paraId="0A32441E">
      <w:pPr>
        <w:numPr>
          <w:ilvl w:val="0"/>
          <w:numId w:val="3"/>
        </w:numPr>
        <w:spacing w:line="600" w:lineRule="exact"/>
        <w:ind w:firstLine="640"/>
        <w:outlineLvl w:val="1"/>
        <w:rPr>
          <w:rStyle w:val="17"/>
          <w:rFonts w:ascii="黑体" w:hAnsi="黑体" w:eastAsia="黑体"/>
          <w:b w:val="0"/>
          <w:color w:val="auto"/>
          <w:highlight w:val="none"/>
        </w:rPr>
      </w:pPr>
      <w:bookmarkStart w:id="36" w:name="_Toc15377219"/>
      <w:bookmarkStart w:id="37" w:name="_Toc15396611"/>
      <w:r>
        <w:rPr>
          <w:rStyle w:val="17"/>
          <w:rFonts w:hint="eastAsia" w:ascii="黑体" w:hAnsi="黑体" w:eastAsia="黑体"/>
          <w:b w:val="0"/>
          <w:color w:val="auto"/>
          <w:highlight w:val="none"/>
        </w:rPr>
        <w:t>国有资本经营预算支出决算情况说明</w:t>
      </w:r>
      <w:bookmarkEnd w:id="36"/>
      <w:bookmarkEnd w:id="37"/>
    </w:p>
    <w:p w14:paraId="007B1224">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7E00A3A">
      <w:pPr>
        <w:spacing w:line="580" w:lineRule="exact"/>
        <w:jc w:val="center"/>
        <w:rPr>
          <w:rFonts w:ascii="方正小标宋简体" w:hAnsi="方正小标宋简体" w:eastAsia="方正小标宋简体" w:cs="方正小标宋简体"/>
          <w:color w:val="auto"/>
          <w:sz w:val="44"/>
          <w:szCs w:val="44"/>
          <w:highlight w:val="none"/>
        </w:rPr>
      </w:pPr>
    </w:p>
    <w:p w14:paraId="7800E082">
      <w:pPr>
        <w:numPr>
          <w:ilvl w:val="0"/>
          <w:numId w:val="3"/>
        </w:numPr>
        <w:spacing w:line="600" w:lineRule="exact"/>
        <w:ind w:firstLine="640"/>
        <w:outlineLvl w:val="1"/>
        <w:rPr>
          <w:rStyle w:val="17"/>
          <w:rFonts w:hint="eastAsia" w:ascii="黑体" w:hAnsi="黑体" w:eastAsia="黑体"/>
          <w:b w:val="0"/>
          <w:color w:val="auto"/>
          <w:highlight w:val="none"/>
        </w:rPr>
      </w:pPr>
      <w:bookmarkStart w:id="38" w:name="_Toc15377221"/>
      <w:bookmarkStart w:id="39" w:name="_Toc15396612"/>
      <w:r>
        <w:rPr>
          <w:rStyle w:val="17"/>
          <w:rFonts w:hint="eastAsia" w:ascii="黑体" w:hAnsi="黑体" w:eastAsia="黑体"/>
          <w:b w:val="0"/>
          <w:color w:val="auto"/>
          <w:highlight w:val="none"/>
        </w:rPr>
        <w:t>其他重要事项的情况说明</w:t>
      </w:r>
      <w:bookmarkEnd w:id="38"/>
      <w:bookmarkEnd w:id="39"/>
    </w:p>
    <w:p w14:paraId="7110A244">
      <w:pPr>
        <w:spacing w:line="600" w:lineRule="exact"/>
        <w:ind w:firstLine="643" w:firstLineChars="200"/>
        <w:outlineLvl w:val="2"/>
        <w:rPr>
          <w:rFonts w:ascii="仿宋" w:hAnsi="仿宋" w:eastAsia="仿宋"/>
          <w:color w:val="auto"/>
          <w:sz w:val="32"/>
          <w:szCs w:val="32"/>
          <w:highlight w:val="none"/>
        </w:rPr>
      </w:pPr>
      <w:bookmarkStart w:id="40" w:name="_Toc15377222"/>
      <w:r>
        <w:rPr>
          <w:rFonts w:hint="eastAsia" w:ascii="仿宋" w:hAnsi="仿宋" w:eastAsia="仿宋"/>
          <w:b/>
          <w:color w:val="auto"/>
          <w:sz w:val="32"/>
          <w:szCs w:val="32"/>
          <w:highlight w:val="none"/>
        </w:rPr>
        <w:t>（一）机关运行经费支出情况</w:t>
      </w:r>
      <w:bookmarkEnd w:id="40"/>
    </w:p>
    <w:p w14:paraId="49AA716E">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rPr>
        <w:t>中共泸县纪律检查委员会、泸县监察委员会</w:t>
      </w:r>
      <w:r>
        <w:rPr>
          <w:rFonts w:hint="eastAsia" w:ascii="仿宋_GB2312" w:eastAsia="仿宋_GB2312"/>
          <w:color w:val="auto"/>
          <w:sz w:val="32"/>
          <w:szCs w:val="32"/>
          <w:highlight w:val="none"/>
        </w:rPr>
        <w:t>机关运行经费支出483</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万元，比</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291.28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151.62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人员经费、公用经费增加。</w:t>
      </w:r>
    </w:p>
    <w:p w14:paraId="4B7B24C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1" w:name="_Toc15377223"/>
      <w:r>
        <w:rPr>
          <w:rFonts w:hint="eastAsia" w:ascii="仿宋" w:hAnsi="仿宋" w:eastAsia="仿宋"/>
          <w:b/>
          <w:color w:val="auto"/>
          <w:sz w:val="32"/>
          <w:szCs w:val="32"/>
          <w:highlight w:val="none"/>
        </w:rPr>
        <w:t>（二）政府采购支出情况</w:t>
      </w:r>
      <w:bookmarkEnd w:id="41"/>
    </w:p>
    <w:p w14:paraId="670D9948">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rPr>
        <w:t>中共泸县纪律检查委员会、泸县监察委员会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14:paraId="770564C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4"/>
      <w:r>
        <w:rPr>
          <w:rFonts w:hint="eastAsia" w:ascii="仿宋" w:hAnsi="仿宋" w:eastAsia="仿宋"/>
          <w:b/>
          <w:color w:val="auto"/>
          <w:sz w:val="32"/>
          <w:szCs w:val="32"/>
          <w:highlight w:val="none"/>
        </w:rPr>
        <w:t>（三）国有资产占有使用情况</w:t>
      </w:r>
      <w:bookmarkEnd w:id="42"/>
    </w:p>
    <w:p w14:paraId="03DE0246">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olor w:val="auto"/>
          <w:sz w:val="32"/>
          <w:szCs w:val="32"/>
          <w:highlight w:val="none"/>
        </w:rPr>
        <w:t>中共泸县纪律检查委员会、泸县监察委员会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执法执勤。</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0552EE60">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14:paraId="49B06FE3">
      <w:pPr>
        <w:spacing w:line="600" w:lineRule="exact"/>
        <w:ind w:firstLine="640" w:firstLineChars="200"/>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预算编制阶段，组织对大案要案查处项目（项目名称）等</w:t>
      </w:r>
      <w:r>
        <w:rPr>
          <w:rFonts w:hint="eastAsia" w:ascii="仿宋_GB2312" w:hAnsi="Times New Roman" w:eastAsia="仿宋_GB2312" w:cs="Times New Roman"/>
          <w:color w:val="auto"/>
          <w:sz w:val="32"/>
          <w:szCs w:val="32"/>
          <w:highlight w:val="none"/>
          <w:lang w:val="en-US" w:eastAsia="zh-CN"/>
        </w:rPr>
        <w:t>1个项目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1个项目开展绩效自评，绩效自评表详见第四部分附件。</w:t>
      </w:r>
    </w:p>
    <w:p w14:paraId="40077BE1"/>
    <w:p w14:paraId="50005A16">
      <w:pPr>
        <w:numPr>
          <w:ilvl w:val="0"/>
          <w:numId w:val="4"/>
        </w:numPr>
        <w:spacing w:line="600" w:lineRule="exact"/>
        <w:ind w:firstLine="660" w:firstLineChars="150"/>
        <w:jc w:val="center"/>
        <w:outlineLvl w:val="0"/>
        <w:rPr>
          <w:rStyle w:val="16"/>
          <w:rFonts w:ascii="黑体" w:hAnsi="黑体" w:eastAsia="黑体"/>
          <w:b w:val="0"/>
          <w:color w:val="auto"/>
          <w:highlight w:val="none"/>
        </w:rPr>
      </w:pPr>
      <w:bookmarkStart w:id="43" w:name="_Toc15396613"/>
      <w:bookmarkStart w:id="44" w:name="_Toc15377225"/>
      <w:r>
        <w:rPr>
          <w:rFonts w:hint="eastAsia" w:ascii="黑体" w:hAnsi="黑体" w:eastAsia="黑体"/>
          <w:color w:val="auto"/>
          <w:sz w:val="44"/>
          <w:szCs w:val="44"/>
          <w:highlight w:val="none"/>
        </w:rPr>
        <w:t>名</w:t>
      </w:r>
      <w:r>
        <w:rPr>
          <w:rStyle w:val="16"/>
          <w:rFonts w:hint="eastAsia" w:ascii="黑体" w:hAnsi="黑体" w:eastAsia="黑体"/>
          <w:b w:val="0"/>
          <w:color w:val="auto"/>
          <w:highlight w:val="none"/>
        </w:rPr>
        <w:t>词解释</w:t>
      </w:r>
      <w:bookmarkEnd w:id="43"/>
      <w:bookmarkEnd w:id="44"/>
    </w:p>
    <w:p w14:paraId="62DF3C15">
      <w:pPr>
        <w:spacing w:line="600" w:lineRule="exact"/>
        <w:jc w:val="left"/>
        <w:rPr>
          <w:rFonts w:ascii="宋体"/>
          <w:b/>
          <w:color w:val="auto"/>
          <w:sz w:val="44"/>
          <w:szCs w:val="44"/>
          <w:highlight w:val="none"/>
        </w:rPr>
      </w:pPr>
    </w:p>
    <w:p w14:paraId="5A1FADE6">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w:t>
      </w:r>
      <w:r>
        <w:rPr>
          <w:rFonts w:hint="eastAsia" w:ascii="仿宋_GB2312" w:eastAsia="仿宋_GB2312"/>
          <w:color w:val="auto"/>
          <w:sz w:val="32"/>
          <w:szCs w:val="32"/>
          <w:lang w:eastAsia="zh-CN"/>
        </w:rPr>
        <w:t>单位</w:t>
      </w:r>
      <w:r>
        <w:rPr>
          <w:rFonts w:hint="eastAsia" w:ascii="仿宋_GB2312" w:eastAsia="仿宋_GB2312"/>
          <w:color w:val="auto"/>
          <w:sz w:val="32"/>
          <w:szCs w:val="32"/>
        </w:rPr>
        <w:t>取得的财政预算资金。</w:t>
      </w:r>
    </w:p>
    <w:p w14:paraId="1A878534">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CEFAB24">
      <w:pPr>
        <w:pStyle w:val="1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375A47FA">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14:paraId="4E3F49F3">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64BD74A5">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339275F4">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5AA18CEC">
      <w:pPr>
        <w:pStyle w:val="1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3976777">
      <w:pPr>
        <w:ind w:firstLine="640" w:firstLineChars="200"/>
        <w:rPr>
          <w:rFonts w:ascii="仿宋_GB2312" w:eastAsia="仿宋_GB2312"/>
          <w:sz w:val="32"/>
          <w:szCs w:val="32"/>
        </w:rPr>
      </w:pPr>
      <w:r>
        <w:rPr>
          <w:rFonts w:ascii="仿宋_GB2312" w:eastAsia="仿宋_GB2312"/>
          <w:sz w:val="32"/>
          <w:szCs w:val="32"/>
        </w:rPr>
        <w:t>9.</w:t>
      </w:r>
      <w:r>
        <w:rPr>
          <w:rStyle w:val="14"/>
          <w:rFonts w:hint="eastAsia" w:ascii="仿宋_GB2312" w:hAnsi="仿宋" w:eastAsia="仿宋_GB2312"/>
          <w:b w:val="0"/>
          <w:bCs/>
          <w:color w:val="000000"/>
          <w:sz w:val="32"/>
          <w:szCs w:val="32"/>
        </w:rPr>
        <w:t>一般公共服务（类）纪检监察事务（款）</w:t>
      </w:r>
      <w:r>
        <w:rPr>
          <w:rFonts w:hint="eastAsia" w:ascii="仿宋_GB2312" w:eastAsia="仿宋_GB2312"/>
          <w:sz w:val="32"/>
          <w:szCs w:val="32"/>
        </w:rPr>
        <w:t>：指</w:t>
      </w:r>
      <w:r>
        <w:rPr>
          <w:rFonts w:hint="eastAsia" w:ascii="仿宋_GB2312" w:eastAsia="仿宋_GB2312"/>
          <w:sz w:val="32"/>
          <w:szCs w:val="32"/>
          <w:lang w:eastAsia="zh-CN"/>
        </w:rPr>
        <w:t>纪检监察事务的公用经费支出和人员工资等经费支出</w:t>
      </w:r>
      <w:r>
        <w:rPr>
          <w:rFonts w:hint="eastAsia" w:ascii="仿宋_GB2312" w:eastAsia="仿宋_GB2312"/>
          <w:sz w:val="32"/>
          <w:szCs w:val="32"/>
        </w:rPr>
        <w:t>。</w:t>
      </w:r>
    </w:p>
    <w:p w14:paraId="1E3BA0CD">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社会保障和就业（类）行政事业单位养老支出（款）：指</w:t>
      </w:r>
      <w:r>
        <w:rPr>
          <w:rFonts w:hint="eastAsia" w:ascii="仿宋_GB2312" w:eastAsia="仿宋_GB2312"/>
          <w:sz w:val="32"/>
          <w:szCs w:val="32"/>
          <w:lang w:eastAsia="zh-CN"/>
        </w:rPr>
        <w:t>单位基本养老保险缴费支出</w:t>
      </w:r>
      <w:r>
        <w:rPr>
          <w:rFonts w:hint="eastAsia" w:ascii="仿宋_GB2312" w:eastAsia="仿宋_GB2312"/>
          <w:sz w:val="32"/>
          <w:szCs w:val="32"/>
        </w:rPr>
        <w:t>。</w:t>
      </w:r>
    </w:p>
    <w:p w14:paraId="41B7B60A">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医疗卫生与计划生育（类）行政事业单位医疗（款）：指</w:t>
      </w:r>
      <w:r>
        <w:rPr>
          <w:rFonts w:hint="eastAsia" w:ascii="仿宋_GB2312" w:eastAsia="仿宋_GB2312"/>
          <w:sz w:val="32"/>
          <w:szCs w:val="32"/>
          <w:lang w:eastAsia="zh-CN"/>
        </w:rPr>
        <w:t>行政单位医疗、事业单位医疗和公务员医疗补助支出</w:t>
      </w:r>
      <w:r>
        <w:rPr>
          <w:rFonts w:hint="eastAsia" w:ascii="仿宋_GB2312" w:eastAsia="仿宋_GB2312"/>
          <w:sz w:val="32"/>
          <w:szCs w:val="32"/>
        </w:rPr>
        <w:t>。</w:t>
      </w:r>
    </w:p>
    <w:p w14:paraId="337F93A3">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住房保障（类）</w:t>
      </w:r>
      <w:r>
        <w:rPr>
          <w:rFonts w:hint="eastAsia" w:ascii="仿宋_GB2312" w:eastAsia="仿宋_GB2312"/>
          <w:sz w:val="32"/>
          <w:szCs w:val="32"/>
          <w:lang w:eastAsia="zh-CN"/>
        </w:rPr>
        <w:t>住房改革支出</w:t>
      </w:r>
      <w:r>
        <w:rPr>
          <w:rFonts w:hint="eastAsia" w:ascii="仿宋_GB2312" w:eastAsia="仿宋_GB2312"/>
          <w:sz w:val="32"/>
          <w:szCs w:val="32"/>
        </w:rPr>
        <w:t>（款）：指</w:t>
      </w:r>
      <w:r>
        <w:rPr>
          <w:rFonts w:hint="eastAsia" w:ascii="仿宋_GB2312" w:eastAsia="仿宋_GB2312"/>
          <w:sz w:val="32"/>
          <w:szCs w:val="32"/>
          <w:lang w:eastAsia="zh-CN"/>
        </w:rPr>
        <w:t>住房公积金支出</w:t>
      </w:r>
      <w:r>
        <w:rPr>
          <w:rFonts w:hint="eastAsia" w:ascii="仿宋_GB2312" w:eastAsia="仿宋_GB2312"/>
          <w:sz w:val="32"/>
          <w:szCs w:val="32"/>
        </w:rPr>
        <w:t>。</w:t>
      </w:r>
    </w:p>
    <w:p w14:paraId="428E4F90">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22B3248A">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0DD7EF0F">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DDFBFCE">
      <w:pPr>
        <w:pStyle w:val="1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w:t>
      </w:r>
      <w:r>
        <w:rPr>
          <w:rFonts w:hint="eastAsia" w:ascii="仿宋_GB2312" w:eastAsia="仿宋_GB2312"/>
          <w:color w:val="auto"/>
          <w:sz w:val="32"/>
          <w:szCs w:val="32"/>
          <w:lang w:eastAsia="zh-CN"/>
        </w:rPr>
        <w:t>单位</w:t>
      </w:r>
      <w:r>
        <w:rPr>
          <w:rFonts w:hint="eastAsia" w:ascii="仿宋_GB2312" w:eastAsia="仿宋_GB2312"/>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9F5422C">
      <w:pPr>
        <w:pStyle w:val="19"/>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245BDA">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4D0D98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20D2094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94063DD">
      <w:pPr>
        <w:pStyle w:val="19"/>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ECF7244">
      <w:pPr>
        <w:pStyle w:val="19"/>
        <w:spacing w:line="560" w:lineRule="exact"/>
        <w:ind w:firstLine="640" w:firstLineChars="200"/>
        <w:rPr>
          <w:rFonts w:hint="eastAsia" w:ascii="宋体" w:eastAsia="仿宋_GB2312"/>
          <w:b/>
          <w:color w:val="auto"/>
          <w:sz w:val="44"/>
          <w:szCs w:val="44"/>
          <w:highlight w:val="none"/>
          <w:lang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w:t>
      </w:r>
      <w:r>
        <w:rPr>
          <w:rFonts w:hint="eastAsia" w:ascii="仿宋_GB2312" w:eastAsia="仿宋_GB2312"/>
          <w:color w:val="auto"/>
          <w:sz w:val="32"/>
          <w:szCs w:val="32"/>
          <w:highlight w:val="none"/>
          <w:lang w:eastAsia="zh-CN"/>
        </w:rPr>
        <w:t>用。</w:t>
      </w:r>
    </w:p>
    <w:p w14:paraId="3A716530">
      <w:pPr>
        <w:widowControl/>
        <w:jc w:val="center"/>
        <w:rPr>
          <w:rFonts w:hint="eastAsia" w:ascii="仿宋" w:hAnsi="仿宋" w:eastAsia="仿宋"/>
          <w:b w:val="0"/>
          <w:color w:val="auto"/>
          <w:highlight w:val="none"/>
        </w:rPr>
      </w:pPr>
      <w:bookmarkStart w:id="45" w:name="_Toc15377226"/>
      <w:bookmarkStart w:id="46" w:name="_Toc15396618"/>
      <w:r>
        <w:rPr>
          <w:rFonts w:hint="eastAsia" w:ascii="黑体" w:hAnsi="黑体" w:eastAsia="黑体"/>
          <w:color w:val="auto"/>
          <w:sz w:val="44"/>
          <w:szCs w:val="44"/>
          <w:highlight w:val="none"/>
        </w:rPr>
        <w:t>第</w:t>
      </w:r>
      <w:r>
        <w:rPr>
          <w:rFonts w:hint="eastAsia" w:ascii="黑体" w:hAnsi="黑体" w:eastAsia="黑体"/>
          <w:color w:val="auto"/>
          <w:sz w:val="44"/>
          <w:szCs w:val="44"/>
          <w:highlight w:val="none"/>
          <w:lang w:eastAsia="zh-CN"/>
        </w:rPr>
        <w:t>四</w:t>
      </w:r>
      <w:r>
        <w:rPr>
          <w:rStyle w:val="16"/>
          <w:rFonts w:hint="eastAsia" w:ascii="黑体" w:hAnsi="黑体" w:eastAsia="黑体"/>
          <w:b w:val="0"/>
          <w:color w:val="auto"/>
          <w:highlight w:val="none"/>
        </w:rPr>
        <w:t>部分 附表</w:t>
      </w:r>
      <w:bookmarkEnd w:id="45"/>
      <w:bookmarkEnd w:id="46"/>
      <w:bookmarkStart w:id="47" w:name="_Toc15396619"/>
    </w:p>
    <w:p w14:paraId="26CA001C">
      <w:pPr>
        <w:pStyle w:val="4"/>
        <w:rPr>
          <w:rFonts w:ascii="仿宋" w:hAnsi="仿宋" w:eastAsia="仿宋"/>
          <w:color w:val="auto"/>
          <w:highlight w:val="none"/>
        </w:rPr>
      </w:pPr>
      <w:r>
        <w:rPr>
          <w:rFonts w:hint="eastAsia" w:ascii="仿宋" w:hAnsi="仿宋" w:eastAsia="仿宋"/>
          <w:b w:val="0"/>
          <w:color w:val="auto"/>
          <w:highlight w:val="none"/>
        </w:rPr>
        <w:t>一、收</w:t>
      </w:r>
      <w:r>
        <w:rPr>
          <w:rStyle w:val="17"/>
          <w:rFonts w:hint="eastAsia" w:ascii="仿宋" w:hAnsi="仿宋" w:eastAsia="仿宋"/>
          <w:b w:val="0"/>
          <w:bCs w:val="0"/>
          <w:color w:val="auto"/>
          <w:highlight w:val="none"/>
        </w:rPr>
        <w:t>入支出决算总表</w:t>
      </w:r>
      <w:bookmarkEnd w:id="47"/>
    </w:p>
    <w:p w14:paraId="2E8AFD49">
      <w:pPr>
        <w:pStyle w:val="4"/>
        <w:rPr>
          <w:rFonts w:ascii="仿宋" w:hAnsi="仿宋" w:eastAsia="仿宋"/>
          <w:color w:val="auto"/>
          <w:highlight w:val="none"/>
        </w:rPr>
      </w:pPr>
      <w:bookmarkStart w:id="48" w:name="_Toc15396620"/>
      <w:r>
        <w:rPr>
          <w:rFonts w:hint="eastAsia" w:ascii="仿宋" w:hAnsi="仿宋" w:eastAsia="仿宋"/>
          <w:b w:val="0"/>
          <w:color w:val="auto"/>
          <w:highlight w:val="none"/>
        </w:rPr>
        <w:t>二、收</w:t>
      </w:r>
      <w:r>
        <w:rPr>
          <w:rStyle w:val="17"/>
          <w:rFonts w:hint="eastAsia" w:ascii="仿宋" w:hAnsi="仿宋" w:eastAsia="仿宋"/>
          <w:b w:val="0"/>
          <w:bCs w:val="0"/>
          <w:color w:val="auto"/>
          <w:highlight w:val="none"/>
        </w:rPr>
        <w:t>入决算表</w:t>
      </w:r>
      <w:bookmarkEnd w:id="48"/>
    </w:p>
    <w:p w14:paraId="1BFB9CCC">
      <w:pPr>
        <w:pStyle w:val="4"/>
        <w:rPr>
          <w:rFonts w:ascii="仿宋" w:hAnsi="仿宋" w:eastAsia="仿宋"/>
          <w:color w:val="auto"/>
          <w:sz w:val="84"/>
          <w:szCs w:val="84"/>
          <w:highlight w:val="none"/>
        </w:rPr>
      </w:pPr>
      <w:bookmarkStart w:id="49" w:name="_Toc15396621"/>
      <w:r>
        <w:rPr>
          <w:rStyle w:val="1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7"/>
          <w:rFonts w:hint="eastAsia" w:ascii="仿宋" w:hAnsi="仿宋" w:eastAsia="仿宋"/>
          <w:b w:val="0"/>
          <w:bCs w:val="0"/>
          <w:color w:val="auto"/>
          <w:highlight w:val="none"/>
        </w:rPr>
        <w:t>出决算表</w:t>
      </w:r>
      <w:bookmarkEnd w:id="49"/>
      <w:bookmarkStart w:id="60" w:name="_GoBack"/>
      <w:bookmarkEnd w:id="60"/>
    </w:p>
    <w:p w14:paraId="74BDC240">
      <w:pPr>
        <w:pStyle w:val="4"/>
        <w:rPr>
          <w:rFonts w:ascii="仿宋" w:hAnsi="仿宋" w:eastAsia="仿宋"/>
          <w:b w:val="0"/>
          <w:color w:val="auto"/>
          <w:highlight w:val="none"/>
        </w:rPr>
      </w:pPr>
      <w:bookmarkStart w:id="50" w:name="_Toc15396622"/>
      <w:r>
        <w:rPr>
          <w:rStyle w:val="1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政拨款收入支出决算总表</w:t>
      </w:r>
      <w:bookmarkEnd w:id="50"/>
    </w:p>
    <w:p w14:paraId="56DD32E0">
      <w:pPr>
        <w:pStyle w:val="4"/>
        <w:rPr>
          <w:rStyle w:val="17"/>
          <w:rFonts w:ascii="仿宋" w:hAnsi="仿宋" w:eastAsia="仿宋"/>
          <w:b w:val="0"/>
          <w:bCs w:val="0"/>
          <w:color w:val="auto"/>
          <w:highlight w:val="none"/>
        </w:rPr>
      </w:pPr>
      <w:bookmarkStart w:id="51" w:name="_Toc15396623"/>
      <w:r>
        <w:rPr>
          <w:rStyle w:val="1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政拨款支出决算明细表</w:t>
      </w:r>
      <w:bookmarkEnd w:id="51"/>
      <w:bookmarkStart w:id="52" w:name="_Toc15396624"/>
    </w:p>
    <w:p w14:paraId="2234AF6C">
      <w:pPr>
        <w:pStyle w:val="4"/>
        <w:rPr>
          <w:rFonts w:ascii="仿宋" w:hAnsi="仿宋" w:eastAsia="仿宋"/>
          <w:color w:val="auto"/>
          <w:highlight w:val="none"/>
        </w:rPr>
      </w:pPr>
      <w:r>
        <w:rPr>
          <w:rStyle w:val="1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般公共预算财政拨款支出决算表</w:t>
      </w:r>
      <w:bookmarkEnd w:id="52"/>
    </w:p>
    <w:p w14:paraId="2E41DA07">
      <w:pPr>
        <w:pStyle w:val="4"/>
        <w:rPr>
          <w:rFonts w:ascii="仿宋" w:hAnsi="仿宋" w:eastAsia="仿宋"/>
          <w:color w:val="auto"/>
          <w:highlight w:val="none"/>
        </w:rPr>
      </w:pPr>
      <w:bookmarkStart w:id="53" w:name="_Toc15396625"/>
      <w:r>
        <w:rPr>
          <w:rStyle w:val="1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般公共预算财政拨款支出决算明细表</w:t>
      </w:r>
      <w:bookmarkEnd w:id="53"/>
    </w:p>
    <w:p w14:paraId="08CF9C06">
      <w:pPr>
        <w:pStyle w:val="4"/>
        <w:rPr>
          <w:rFonts w:ascii="仿宋" w:hAnsi="仿宋" w:eastAsia="仿宋"/>
          <w:color w:val="auto"/>
          <w:highlight w:val="none"/>
        </w:rPr>
      </w:pPr>
      <w:bookmarkStart w:id="54" w:name="_Toc15396626"/>
      <w:r>
        <w:rPr>
          <w:rStyle w:val="1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般公共预算财政拨款基本支出决算表</w:t>
      </w:r>
      <w:bookmarkEnd w:id="54"/>
    </w:p>
    <w:p w14:paraId="1CF58069">
      <w:pPr>
        <w:pStyle w:val="4"/>
        <w:rPr>
          <w:rFonts w:ascii="仿宋" w:hAnsi="仿宋" w:eastAsia="仿宋"/>
          <w:color w:val="auto"/>
          <w:highlight w:val="none"/>
        </w:rPr>
      </w:pPr>
      <w:bookmarkStart w:id="55" w:name="_Toc15396627"/>
      <w:r>
        <w:rPr>
          <w:rStyle w:val="1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般公共预算财政拨款项目支出决算表</w:t>
      </w:r>
      <w:bookmarkEnd w:id="55"/>
    </w:p>
    <w:p w14:paraId="4BD52584">
      <w:pPr>
        <w:pStyle w:val="4"/>
        <w:rPr>
          <w:rFonts w:ascii="仿宋" w:hAnsi="仿宋" w:eastAsia="仿宋"/>
          <w:color w:val="auto"/>
          <w:highlight w:val="none"/>
        </w:rPr>
      </w:pPr>
      <w:bookmarkStart w:id="56" w:name="_Toc15396628"/>
      <w:r>
        <w:rPr>
          <w:rStyle w:val="17"/>
          <w:rFonts w:hint="eastAsia" w:ascii="仿宋" w:hAnsi="仿宋" w:eastAsia="仿宋"/>
          <w:b w:val="0"/>
          <w:bCs w:val="0"/>
          <w:color w:val="auto"/>
          <w:highlight w:val="none"/>
        </w:rPr>
        <w:t>十、</w:t>
      </w:r>
      <w:bookmarkEnd w:id="56"/>
      <w:r>
        <w:rPr>
          <w:rFonts w:hint="eastAsia" w:ascii="仿宋" w:hAnsi="仿宋" w:eastAsia="仿宋"/>
          <w:b w:val="0"/>
          <w:color w:val="auto"/>
          <w:highlight w:val="none"/>
        </w:rPr>
        <w:t>政</w:t>
      </w:r>
      <w:r>
        <w:rPr>
          <w:rStyle w:val="17"/>
          <w:rFonts w:hint="eastAsia" w:ascii="仿宋" w:hAnsi="仿宋" w:eastAsia="仿宋"/>
          <w:b w:val="0"/>
          <w:bCs w:val="0"/>
          <w:color w:val="auto"/>
          <w:highlight w:val="none"/>
        </w:rPr>
        <w:t>府性基金预算财政拨款收入支出决算表</w:t>
      </w:r>
    </w:p>
    <w:p w14:paraId="268845AA">
      <w:pPr>
        <w:pStyle w:val="4"/>
        <w:rPr>
          <w:rFonts w:ascii="仿宋" w:hAnsi="仿宋" w:eastAsia="仿宋"/>
          <w:color w:val="auto"/>
          <w:highlight w:val="none"/>
        </w:rPr>
      </w:pPr>
      <w:bookmarkStart w:id="57" w:name="_Toc15396629"/>
      <w:r>
        <w:rPr>
          <w:rStyle w:val="17"/>
          <w:rFonts w:hint="eastAsia" w:ascii="仿宋" w:hAnsi="仿宋" w:eastAsia="仿宋"/>
          <w:b w:val="0"/>
          <w:bCs w:val="0"/>
          <w:color w:val="auto"/>
          <w:highlight w:val="none"/>
        </w:rPr>
        <w:t>十一、</w:t>
      </w:r>
      <w:bookmarkEnd w:id="57"/>
      <w:r>
        <w:rPr>
          <w:rFonts w:hint="eastAsia" w:ascii="仿宋" w:hAnsi="仿宋" w:eastAsia="仿宋"/>
          <w:b w:val="0"/>
          <w:color w:val="auto"/>
          <w:highlight w:val="none"/>
        </w:rPr>
        <w:t>国</w:t>
      </w:r>
      <w:r>
        <w:rPr>
          <w:rStyle w:val="17"/>
          <w:rFonts w:hint="eastAsia" w:ascii="仿宋" w:hAnsi="仿宋" w:eastAsia="仿宋"/>
          <w:b w:val="0"/>
          <w:bCs w:val="0"/>
          <w:color w:val="auto"/>
          <w:highlight w:val="none"/>
        </w:rPr>
        <w:t>有资本经营预算</w:t>
      </w:r>
      <w:r>
        <w:rPr>
          <w:rStyle w:val="17"/>
          <w:rFonts w:hint="eastAsia" w:ascii="仿宋" w:hAnsi="仿宋" w:eastAsia="仿宋"/>
          <w:b w:val="0"/>
          <w:bCs w:val="0"/>
          <w:color w:val="auto"/>
          <w:highlight w:val="none"/>
          <w:lang w:eastAsia="zh-CN"/>
        </w:rPr>
        <w:t>财政拨款收入</w:t>
      </w:r>
      <w:r>
        <w:rPr>
          <w:rStyle w:val="17"/>
          <w:rFonts w:hint="eastAsia" w:ascii="仿宋" w:hAnsi="仿宋" w:eastAsia="仿宋"/>
          <w:b w:val="0"/>
          <w:bCs w:val="0"/>
          <w:color w:val="auto"/>
          <w:highlight w:val="none"/>
        </w:rPr>
        <w:t>支出决算表</w:t>
      </w:r>
    </w:p>
    <w:p w14:paraId="325415E5">
      <w:pPr>
        <w:pStyle w:val="4"/>
        <w:rPr>
          <w:rFonts w:ascii="仿宋" w:hAnsi="仿宋" w:eastAsia="仿宋"/>
          <w:color w:val="auto"/>
          <w:highlight w:val="none"/>
        </w:rPr>
      </w:pPr>
      <w:bookmarkStart w:id="58" w:name="_Toc15396630"/>
      <w:r>
        <w:rPr>
          <w:rStyle w:val="17"/>
          <w:rFonts w:hint="eastAsia" w:ascii="仿宋" w:hAnsi="仿宋" w:eastAsia="仿宋"/>
          <w:b w:val="0"/>
          <w:bCs w:val="0"/>
          <w:color w:val="auto"/>
          <w:highlight w:val="none"/>
        </w:rPr>
        <w:t>十二、</w:t>
      </w:r>
      <w:bookmarkEnd w:id="58"/>
      <w:r>
        <w:rPr>
          <w:rStyle w:val="17"/>
          <w:rFonts w:hint="eastAsia" w:ascii="仿宋" w:hAnsi="仿宋" w:eastAsia="仿宋"/>
          <w:b w:val="0"/>
          <w:bCs w:val="0"/>
          <w:color w:val="auto"/>
          <w:highlight w:val="none"/>
          <w:lang w:eastAsia="zh-CN"/>
        </w:rPr>
        <w:t>国有资本经营预算财政拨款支出决算表</w:t>
      </w:r>
    </w:p>
    <w:p w14:paraId="56AA28FB">
      <w:pPr>
        <w:pStyle w:val="4"/>
        <w:rPr>
          <w:rStyle w:val="17"/>
          <w:rFonts w:hint="eastAsia" w:ascii="仿宋" w:hAnsi="仿宋" w:eastAsia="仿宋"/>
          <w:b w:val="0"/>
          <w:bCs w:val="0"/>
          <w:color w:val="auto"/>
          <w:highlight w:val="none"/>
          <w:lang w:eastAsia="zh-CN"/>
        </w:rPr>
      </w:pPr>
      <w:bookmarkStart w:id="59" w:name="_Toc15396631"/>
      <w:r>
        <w:rPr>
          <w:rStyle w:val="17"/>
          <w:rFonts w:hint="eastAsia" w:ascii="仿宋" w:hAnsi="仿宋" w:eastAsia="仿宋"/>
          <w:b w:val="0"/>
          <w:bCs w:val="0"/>
          <w:color w:val="auto"/>
          <w:highlight w:val="none"/>
        </w:rPr>
        <w:t>十三、</w:t>
      </w:r>
      <w:bookmarkEnd w:id="59"/>
      <w:r>
        <w:rPr>
          <w:rStyle w:val="17"/>
          <w:rFonts w:hint="eastAsia" w:ascii="仿宋" w:hAnsi="仿宋" w:eastAsia="仿宋"/>
          <w:b w:val="0"/>
          <w:bCs w:val="0"/>
          <w:color w:val="auto"/>
          <w:highlight w:val="none"/>
          <w:lang w:eastAsia="zh-CN"/>
        </w:rPr>
        <w:t>财政拨款“三公”经费支出决算表</w:t>
      </w:r>
    </w:p>
    <w:p w14:paraId="4D2D1B3F"/>
    <w:p w14:paraId="5D75E21F"/>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8A4193F">
        <w:pPr>
          <w:pStyle w:val="7"/>
          <w:jc w:val="center"/>
        </w:pPr>
        <w:r>
          <w:fldChar w:fldCharType="begin"/>
        </w:r>
        <w:r>
          <w:instrText xml:space="preserve">PAGE   \* MERGEFORMAT</w:instrText>
        </w:r>
        <w:r>
          <w:fldChar w:fldCharType="separate"/>
        </w:r>
        <w:r>
          <w:rPr>
            <w:lang w:val="zh-CN"/>
          </w:rPr>
          <w:t>8</w:t>
        </w:r>
        <w:r>
          <w:fldChar w:fldCharType="end"/>
        </w:r>
      </w:p>
    </w:sdtContent>
  </w:sdt>
  <w:p w14:paraId="3A7B8E9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1AA7">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E80C797"/>
    <w:multiLevelType w:val="singleLevel"/>
    <w:tmpl w:val="1E80C79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TdiYzljMmVlNzU2MzM5MzEyOWY0NDRkMTVhODYifQ=="/>
  </w:docVars>
  <w:rsids>
    <w:rsidRoot w:val="3540184F"/>
    <w:rsid w:val="01542909"/>
    <w:rsid w:val="040171E5"/>
    <w:rsid w:val="06316BC8"/>
    <w:rsid w:val="085C4A90"/>
    <w:rsid w:val="0A3945FA"/>
    <w:rsid w:val="0B0577DC"/>
    <w:rsid w:val="0B200294"/>
    <w:rsid w:val="0E950205"/>
    <w:rsid w:val="11FD54C6"/>
    <w:rsid w:val="14D876E2"/>
    <w:rsid w:val="167F2AEF"/>
    <w:rsid w:val="1FB42D15"/>
    <w:rsid w:val="2C420CC9"/>
    <w:rsid w:val="2F6F0AB7"/>
    <w:rsid w:val="3540184F"/>
    <w:rsid w:val="35B75618"/>
    <w:rsid w:val="3DBB238D"/>
    <w:rsid w:val="3FAC0CBB"/>
    <w:rsid w:val="44F76027"/>
    <w:rsid w:val="4C6B0EB8"/>
    <w:rsid w:val="4CF03E01"/>
    <w:rsid w:val="4D6245D3"/>
    <w:rsid w:val="549F3A60"/>
    <w:rsid w:val="556A3FF8"/>
    <w:rsid w:val="56812E5B"/>
    <w:rsid w:val="5BF16682"/>
    <w:rsid w:val="5C0160B8"/>
    <w:rsid w:val="6BD83F86"/>
    <w:rsid w:val="7759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Body Text Indent"/>
    <w:basedOn w:val="1"/>
    <w:next w:val="6"/>
    <w:qFormat/>
    <w:uiPriority w:val="0"/>
    <w:pPr>
      <w:spacing w:after="120"/>
      <w:ind w:leftChars="200"/>
    </w:pPr>
    <w:rPr>
      <w:rFonts w:ascii="仿宋_GB2312"/>
      <w:szCs w:val="32"/>
    </w:rPr>
  </w:style>
  <w:style w:type="paragraph" w:styleId="6">
    <w:name w:val="Body Text First Indent 2"/>
    <w:basedOn w:val="5"/>
    <w:unhideWhenUsed/>
    <w:qFormat/>
    <w:uiPriority w:val="99"/>
    <w:pPr>
      <w:ind w:firstLine="42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footnote text"/>
    <w:basedOn w:val="1"/>
    <w:next w:val="6"/>
    <w:semiHidden/>
    <w:qFormat/>
    <w:uiPriority w:val="0"/>
    <w:pPr>
      <w:snapToGrid w:val="0"/>
      <w:jc w:val="left"/>
    </w:pPr>
    <w:rPr>
      <w:sz w:val="18"/>
      <w:szCs w:val="1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u w:val="single"/>
    </w:rPr>
  </w:style>
  <w:style w:type="character" w:customStyle="1" w:styleId="16">
    <w:name w:val="标题 1 Char"/>
    <w:basedOn w:val="13"/>
    <w:link w:val="3"/>
    <w:qFormat/>
    <w:uiPriority w:val="9"/>
    <w:rPr>
      <w:b/>
      <w:bCs/>
      <w:kern w:val="44"/>
      <w:sz w:val="44"/>
      <w:szCs w:val="44"/>
    </w:rPr>
  </w:style>
  <w:style w:type="character" w:customStyle="1" w:styleId="17">
    <w:name w:val="标题 2 Char"/>
    <w:basedOn w:val="13"/>
    <w:link w:val="4"/>
    <w:qFormat/>
    <w:uiPriority w:val="9"/>
    <w:rPr>
      <w:rFonts w:ascii="Cambria" w:hAnsi="Cambria" w:eastAsia="宋体" w:cs="Times New Roman"/>
      <w:b/>
      <w:bCs/>
      <w:sz w:val="32"/>
      <w:szCs w:val="32"/>
    </w:rPr>
  </w:style>
  <w:style w:type="paragraph"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oleObject" Target="embeddings/oleObject5.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8.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收、支决算总计变动情况</a:t>
            </a:r>
            <a:r>
              <a:rPr lang="en-US" altLang="zh-CN"/>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Sheet1!$A$2:$A$3</c:f>
              <c:strCache>
                <c:ptCount val="2"/>
                <c:pt idx="0">
                  <c:v>收入总计</c:v>
                </c:pt>
                <c:pt idx="1">
                  <c:v>支出总计</c:v>
                </c:pt>
              </c:strCache>
            </c:strRef>
          </c:cat>
          <c:val>
            <c:numRef>
              <c:f>Sheet1!$B$2:$B$3</c:f>
              <c:numCache>
                <c:formatCode>General</c:formatCode>
                <c:ptCount val="2"/>
                <c:pt idx="0">
                  <c:v>1299.99</c:v>
                </c:pt>
                <c:pt idx="1">
                  <c:v>1367.52</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Sheet1!$A$2:$A$3</c:f>
              <c:strCache>
                <c:ptCount val="2"/>
                <c:pt idx="0">
                  <c:v>收入总计</c:v>
                </c:pt>
                <c:pt idx="1">
                  <c:v>支出总计</c:v>
                </c:pt>
              </c:strCache>
            </c:strRef>
          </c:cat>
          <c:val>
            <c:numRef>
              <c:f>Sheet1!$C$2:$C$3</c:f>
              <c:numCache>
                <c:formatCode>#,##0.00</c:formatCode>
                <c:ptCount val="2"/>
                <c:pt idx="0">
                  <c:v>1634.15</c:v>
                </c:pt>
                <c:pt idx="1">
                  <c:v>1634.15</c:v>
                </c:pt>
              </c:numCache>
            </c:numRef>
          </c:val>
        </c:ser>
        <c:dLbls>
          <c:showLegendKey val="0"/>
          <c:showVal val="0"/>
          <c:showCatName val="0"/>
          <c:showSerName val="0"/>
          <c:showPercent val="0"/>
          <c:showBubbleSize val="0"/>
        </c:dLbls>
        <c:gapWidth val="219"/>
        <c:overlap val="-27"/>
        <c:axId val="450289399"/>
        <c:axId val="499720159"/>
      </c:barChart>
      <c:catAx>
        <c:axId val="450289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720159"/>
        <c:crosses val="autoZero"/>
        <c:auto val="1"/>
        <c:lblAlgn val="ctr"/>
        <c:lblOffset val="100"/>
        <c:noMultiLvlLbl val="0"/>
      </c:catAx>
      <c:valAx>
        <c:axId val="49972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2893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a:t>
            </a:r>
          </a:p>
        </c:rich>
      </c:tx>
      <c:layout>
        <c:manualLayout>
          <c:xMode val="edge"/>
          <c:yMode val="edge"/>
          <c:x val="0.368881637496292"/>
          <c:y val="0.0231520815632965"/>
        </c:manualLayout>
      </c:layout>
      <c:overlay val="0"/>
      <c:spPr>
        <a:noFill/>
        <a:ln>
          <a:noFill/>
        </a:ln>
        <a:effectLst/>
      </c:sp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1299.99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a:t>
            </a:r>
          </a:p>
        </c:rich>
      </c:tx>
      <c:layout>
        <c:manualLayout>
          <c:xMode val="edge"/>
          <c:yMode val="edge"/>
          <c:x val="0.368881637496292"/>
          <c:y val="0.0231520815632965"/>
        </c:manualLayout>
      </c:layout>
      <c:overlay val="0"/>
      <c:spPr>
        <a:noFill/>
        <a:ln>
          <a:noFill/>
        </a:ln>
        <a:effectLst/>
      </c:sp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1299.99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a:t>
            </a:r>
          </a:p>
        </c:rich>
      </c:tx>
      <c:layout>
        <c:manualLayout>
          <c:xMode val="edge"/>
          <c:yMode val="edge"/>
          <c:x val="0.368881637496292"/>
          <c:y val="0.0231520815632965"/>
        </c:manualLayout>
      </c:layout>
      <c:overlay val="0"/>
      <c:spPr>
        <a:noFill/>
        <a:ln>
          <a:noFill/>
        </a:ln>
        <a:effectLst/>
      </c:spPr>
    </c:title>
    <c:autoTitleDeleted val="0"/>
    <c:plotArea>
      <c:layout/>
      <c:pieChart>
        <c:varyColors val="1"/>
        <c:ser>
          <c:idx val="0"/>
          <c:order val="0"/>
          <c:tx>
            <c:strRef>
              <c:f>Sheet1!$B$1</c:f>
              <c:strCache>
                <c:ptCount val="1"/>
                <c:pt idx="0">
                  <c:v>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#,##0.00</c:formatCode>
                <c:ptCount val="2"/>
                <c:pt idx="0">
                  <c:v>1415.78</c:v>
                </c:pt>
                <c:pt idx="1" c:formatCode="General">
                  <c:v>218.37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t>收、支决算总计变动情况</a:t>
            </a:r>
            <a:r>
              <a:rPr lang="en-US" altLang="zh-CN"/>
              <a:t>       </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Sheet1!$A$2:$A$3</c:f>
              <c:strCache>
                <c:ptCount val="2"/>
                <c:pt idx="0">
                  <c:v>收入总计</c:v>
                </c:pt>
                <c:pt idx="1">
                  <c:v>支出总计</c:v>
                </c:pt>
              </c:strCache>
            </c:strRef>
          </c:cat>
          <c:val>
            <c:numRef>
              <c:f>Sheet1!$B$2:$B$3</c:f>
              <c:numCache>
                <c:formatCode>General</c:formatCode>
                <c:ptCount val="2"/>
                <c:pt idx="0">
                  <c:v>1299.99</c:v>
                </c:pt>
                <c:pt idx="1">
                  <c:v>1367.52</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Sheet1!$A$2:$A$3</c:f>
              <c:strCache>
                <c:ptCount val="2"/>
                <c:pt idx="0">
                  <c:v>收入总计</c:v>
                </c:pt>
                <c:pt idx="1">
                  <c:v>支出总计</c:v>
                </c:pt>
              </c:strCache>
            </c:strRef>
          </c:cat>
          <c:val>
            <c:numRef>
              <c:f>Sheet1!$C$2:$C$3</c:f>
              <c:numCache>
                <c:formatCode>General</c:formatCode>
                <c:ptCount val="2"/>
                <c:pt idx="0">
                  <c:v>1634.15</c:v>
                </c:pt>
                <c:pt idx="1">
                  <c:v>1634.15</c:v>
                </c:pt>
              </c:numCache>
            </c:numRef>
          </c:val>
        </c:ser>
        <c:dLbls>
          <c:showLegendKey val="0"/>
          <c:showVal val="0"/>
          <c:showCatName val="0"/>
          <c:showSerName val="0"/>
          <c:showPercent val="0"/>
          <c:showBubbleSize val="0"/>
        </c:dLbls>
        <c:gapWidth val="219"/>
        <c:overlap val="-27"/>
        <c:axId val="450289399"/>
        <c:axId val="499720159"/>
      </c:barChart>
      <c:catAx>
        <c:axId val="450289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720159"/>
        <c:crosses val="autoZero"/>
        <c:auto val="1"/>
        <c:lblAlgn val="ctr"/>
        <c:lblOffset val="100"/>
        <c:noMultiLvlLbl val="0"/>
      </c:catAx>
      <c:valAx>
        <c:axId val="49972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2893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 </a:t>
            </a:r>
            <a:r>
              <a:rPr altLang="en-US"/>
              <a:t>一般公共预算财政拨款支出决算变动情况</a:t>
            </a:r>
            <a:r>
              <a:rPr lang="en-US" altLang="zh-CN"/>
              <a:t>                 </a:t>
            </a:r>
            <a:endParaRPr altLang="en-US"/>
          </a:p>
        </c:rich>
      </c:tx>
      <c:layout>
        <c:manualLayout>
          <c:xMode val="edge"/>
          <c:yMode val="edge"/>
          <c:x val="0.136305369605469"/>
          <c:y val="0.020345252774352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elete val="1"/>
          </c:dLbls>
          <c:cat>
            <c:strRef>
              <c:f>Sheet1!$A$2</c:f>
              <c:strCache>
                <c:ptCount val="1"/>
                <c:pt idx="0">
                  <c:v>支出总计</c:v>
                </c:pt>
              </c:strCache>
            </c:strRef>
          </c:cat>
          <c:val>
            <c:numRef>
              <c:f>Sheet1!$B$2</c:f>
              <c:numCache>
                <c:formatCode>General</c:formatCode>
                <c:ptCount val="1"/>
                <c:pt idx="0">
                  <c:v>1367.52</c:v>
                </c:pt>
              </c:numCache>
            </c:numRef>
          </c:val>
        </c:ser>
        <c:ser>
          <c:idx val="1"/>
          <c:order val="1"/>
          <c:tx>
            <c:strRef>
              <c:f>Sheet1!$C$1</c:f>
              <c:strCache>
                <c:ptCount val="1"/>
                <c:pt idx="0">
                  <c:v>2023</c:v>
                </c:pt>
              </c:strCache>
            </c:strRef>
          </c:tx>
          <c:spPr>
            <a:solidFill>
              <a:schemeClr val="accent2"/>
            </a:solidFill>
            <a:ln>
              <a:noFill/>
            </a:ln>
            <a:effectLst/>
          </c:spPr>
          <c:invertIfNegative val="0"/>
          <c:dLbls>
            <c:delete val="1"/>
          </c:dLbls>
          <c:cat>
            <c:strRef>
              <c:f>Sheet1!$A$2</c:f>
              <c:strCache>
                <c:ptCount val="1"/>
                <c:pt idx="0">
                  <c:v>支出总计</c:v>
                </c:pt>
              </c:strCache>
            </c:strRef>
          </c:cat>
          <c:val>
            <c:numRef>
              <c:f>Sheet1!$C$2</c:f>
              <c:numCache>
                <c:formatCode>General</c:formatCode>
                <c:ptCount val="1"/>
                <c:pt idx="0">
                  <c:v>1634.15</c:v>
                </c:pt>
              </c:numCache>
            </c:numRef>
          </c:val>
        </c:ser>
        <c:dLbls>
          <c:showLegendKey val="0"/>
          <c:showVal val="0"/>
          <c:showCatName val="0"/>
          <c:showSerName val="0"/>
          <c:showPercent val="0"/>
          <c:showBubbleSize val="0"/>
        </c:dLbls>
        <c:gapWidth val="219"/>
        <c:overlap val="-27"/>
        <c:axId val="450289399"/>
        <c:axId val="499720159"/>
      </c:barChart>
      <c:catAx>
        <c:axId val="4502893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720159"/>
        <c:crosses val="autoZero"/>
        <c:auto val="1"/>
        <c:lblAlgn val="ctr"/>
        <c:lblOffset val="100"/>
        <c:noMultiLvlLbl val="0"/>
      </c:catAx>
      <c:valAx>
        <c:axId val="49972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289399"/>
        <c:crosses val="autoZero"/>
        <c:crossBetween val="between"/>
      </c:valAx>
      <c:spPr>
        <a:noFill/>
        <a:ln>
          <a:noFill/>
        </a:ln>
        <a:effectLst/>
      </c:spPr>
    </c:plotArea>
    <c:legend>
      <c:legendPos val="b"/>
      <c:layout>
        <c:manualLayout>
          <c:xMode val="edge"/>
          <c:yMode val="edge"/>
          <c:x val="0.4171875"/>
          <c:y val="0.939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一般公共服务（类）支出</c:v>
                </c:pt>
                <c:pt idx="1">
                  <c:v>社会保障和就业（类）支出</c:v>
                </c:pt>
                <c:pt idx="2">
                  <c:v>卫生健康类支出</c:v>
                </c:pt>
                <c:pt idx="3">
                  <c:v>住房保障支出</c:v>
                </c:pt>
              </c:strCache>
            </c:strRef>
          </c:cat>
          <c:val>
            <c:numRef>
              <c:f>Sheet1!$B$2:$B$5</c:f>
              <c:numCache>
                <c:formatCode>General</c:formatCode>
                <c:ptCount val="4"/>
                <c:pt idx="0">
                  <c:v>1370.16</c:v>
                </c:pt>
                <c:pt idx="1">
                  <c:v>167.66</c:v>
                </c:pt>
                <c:pt idx="2">
                  <c:v>30.35</c:v>
                </c:pt>
                <c:pt idx="3">
                  <c:v>65.98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公务用车购置及运行维护费</c:v>
                </c:pt>
                <c:pt idx="1">
                  <c:v>公务接待费</c:v>
                </c:pt>
              </c:strCache>
            </c:strRef>
          </c:cat>
          <c:val>
            <c:numRef>
              <c:f>Sheet1!$B$2:$B$3</c:f>
              <c:numCache>
                <c:formatCode>General</c:formatCode>
                <c:ptCount val="2"/>
                <c:pt idx="0">
                  <c:v>54.9</c:v>
                </c:pt>
                <c:pt idx="1">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5287</Words>
  <Characters>5813</Characters>
  <Lines>0</Lines>
  <Paragraphs>0</Paragraphs>
  <TotalTime>0</TotalTime>
  <ScaleCrop>false</ScaleCrop>
  <LinksUpToDate>false</LinksUpToDate>
  <CharactersWithSpaces>5830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2024-09-11T01:46:00Z</dcterms:created>
  <dc:creator>Administrator</dc:creator>
  <cp:lastModifiedBy>Cccccanace</cp:lastModifiedBy>
  <dcterms:modified xsi:type="dcterms:W3CDTF">2024-09-27T03:20:20Z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FCD55FFE37EC404FB16F974FAD3D12B9_11</vt:lpwstr>
  </property>
</Properties>
</file>